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18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5136"/>
      </w:tblGrid>
      <w:tr w:rsidR="00D92554" w:rsidRPr="00FB4D96" w:rsidTr="00D92554">
        <w:tc>
          <w:tcPr>
            <w:tcW w:w="6204" w:type="dxa"/>
          </w:tcPr>
          <w:p w:rsidR="00D92554" w:rsidRPr="00FB4D96" w:rsidRDefault="00D92554" w:rsidP="00D92554">
            <w:pPr>
              <w:pStyle w:val="En-tte"/>
              <w:spacing w:before="240" w:line="276" w:lineRule="auto"/>
              <w:jc w:val="both"/>
              <w:rPr>
                <w:b/>
                <w:szCs w:val="24"/>
              </w:rPr>
            </w:pPr>
            <w:r w:rsidRPr="00FB4D96">
              <w:rPr>
                <w:b/>
                <w:szCs w:val="24"/>
              </w:rPr>
              <w:t xml:space="preserve">          UNIVERSITE GASTON BERGER DE SAINT-LOUIS</w:t>
            </w:r>
          </w:p>
          <w:p w:rsidR="00D92554" w:rsidRPr="00FB4D96" w:rsidRDefault="00D92554" w:rsidP="00D92554">
            <w:pPr>
              <w:pStyle w:val="En-tte"/>
              <w:spacing w:line="276" w:lineRule="auto"/>
              <w:jc w:val="both"/>
              <w:rPr>
                <w:b/>
                <w:szCs w:val="24"/>
              </w:rPr>
            </w:pPr>
            <w:r w:rsidRPr="00FB4D96">
              <w:rPr>
                <w:b/>
                <w:szCs w:val="24"/>
              </w:rPr>
              <w:t xml:space="preserve">            UFR DE SCIENCES JURIDIQUE ET POLITIQUE                   </w:t>
            </w:r>
          </w:p>
        </w:tc>
        <w:tc>
          <w:tcPr>
            <w:tcW w:w="5136" w:type="dxa"/>
          </w:tcPr>
          <w:p w:rsidR="00D92554" w:rsidRPr="00FB4D96" w:rsidRDefault="003D4BEE" w:rsidP="00D92554">
            <w:pPr>
              <w:pStyle w:val="En-tte"/>
              <w:spacing w:before="240" w:line="276" w:lineRule="auto"/>
              <w:jc w:val="center"/>
              <w:rPr>
                <w:b/>
                <w:szCs w:val="24"/>
              </w:rPr>
            </w:pPr>
            <w:r>
              <w:rPr>
                <w:b/>
                <w:szCs w:val="24"/>
              </w:rPr>
              <w:t>ANNEE UNIVERSITAIRE :    2019-2020</w:t>
            </w:r>
          </w:p>
          <w:p w:rsidR="00D92554" w:rsidRPr="00FB4D96" w:rsidRDefault="00D92554" w:rsidP="00D92554">
            <w:pPr>
              <w:pStyle w:val="En-tte"/>
              <w:spacing w:line="276" w:lineRule="auto"/>
              <w:jc w:val="center"/>
              <w:rPr>
                <w:b/>
                <w:szCs w:val="24"/>
              </w:rPr>
            </w:pPr>
            <w:r w:rsidRPr="00FB4D96">
              <w:rPr>
                <w:b/>
                <w:szCs w:val="24"/>
              </w:rPr>
              <w:t>SEMESTRE 2</w:t>
            </w:r>
          </w:p>
          <w:p w:rsidR="00D92554" w:rsidRPr="00FB4D96" w:rsidRDefault="00D92554" w:rsidP="00D92554">
            <w:pPr>
              <w:pStyle w:val="En-tte"/>
              <w:spacing w:line="276" w:lineRule="auto"/>
              <w:jc w:val="center"/>
              <w:rPr>
                <w:b/>
                <w:szCs w:val="24"/>
              </w:rPr>
            </w:pPr>
            <w:r w:rsidRPr="00FB4D96">
              <w:rPr>
                <w:b/>
                <w:szCs w:val="24"/>
              </w:rPr>
              <w:t>LICENCE 2 SCIENCES JURIDIQUES</w:t>
            </w:r>
          </w:p>
          <w:p w:rsidR="00D92554" w:rsidRPr="00FB4D96" w:rsidRDefault="00D92554" w:rsidP="00D92554">
            <w:pPr>
              <w:pStyle w:val="En-tte"/>
              <w:spacing w:line="276" w:lineRule="auto"/>
              <w:jc w:val="center"/>
              <w:rPr>
                <w:b/>
                <w:szCs w:val="24"/>
              </w:rPr>
            </w:pPr>
            <w:r w:rsidRPr="00FB4D96">
              <w:rPr>
                <w:b/>
                <w:szCs w:val="24"/>
              </w:rPr>
              <w:t>COURS : Pr.  M.M. AIDARA</w:t>
            </w:r>
          </w:p>
          <w:p w:rsidR="00D92554" w:rsidRPr="00FB4D96" w:rsidRDefault="00D92554" w:rsidP="00D92554">
            <w:pPr>
              <w:pStyle w:val="En-tte"/>
              <w:spacing w:line="276" w:lineRule="auto"/>
              <w:jc w:val="center"/>
              <w:rPr>
                <w:b/>
                <w:szCs w:val="24"/>
              </w:rPr>
            </w:pPr>
            <w:r w:rsidRPr="00FB4D96">
              <w:rPr>
                <w:b/>
                <w:szCs w:val="24"/>
              </w:rPr>
              <w:t>T.D. :        MM. O. KAMARA &amp; S. M. B. NIANG</w:t>
            </w:r>
          </w:p>
        </w:tc>
      </w:tr>
    </w:tbl>
    <w:p w:rsidR="00FE7DC1" w:rsidRPr="00FB4D96" w:rsidRDefault="00FE7DC1" w:rsidP="00B7179F">
      <w:pPr>
        <w:pStyle w:val="En-tte"/>
        <w:jc w:val="both"/>
        <w:rPr>
          <w:rFonts w:cs="Arial"/>
          <w:b/>
          <w:sz w:val="24"/>
          <w:szCs w:val="24"/>
        </w:rPr>
      </w:pPr>
      <w:r w:rsidRPr="00FB4D96">
        <w:rPr>
          <w:rFonts w:cs="Arial"/>
          <w:b/>
          <w:sz w:val="24"/>
          <w:szCs w:val="24"/>
        </w:rPr>
        <w:t xml:space="preserve">                                                                             </w:t>
      </w:r>
      <w:r w:rsidR="00FF2743" w:rsidRPr="00FB4D96">
        <w:rPr>
          <w:rFonts w:cs="Arial"/>
          <w:b/>
          <w:sz w:val="24"/>
          <w:szCs w:val="24"/>
        </w:rPr>
        <w:t xml:space="preserve">           </w:t>
      </w:r>
      <w:r w:rsidRPr="00FB4D96">
        <w:rPr>
          <w:rFonts w:cs="Arial"/>
          <w:b/>
          <w:sz w:val="24"/>
          <w:szCs w:val="24"/>
        </w:rPr>
        <w:t xml:space="preserve"> </w:t>
      </w:r>
    </w:p>
    <w:tbl>
      <w:tblPr>
        <w:tblStyle w:val="Grilledutableau"/>
        <w:tblpPr w:leftFromText="141" w:rightFromText="141" w:vertAnchor="text" w:horzAnchor="margin" w:tblpXSpec="center" w:tblpY="161"/>
        <w:tblW w:w="0" w:type="auto"/>
        <w:tblLook w:val="04A0" w:firstRow="1" w:lastRow="0" w:firstColumn="1" w:lastColumn="0" w:noHBand="0" w:noVBand="1"/>
      </w:tblPr>
      <w:tblGrid>
        <w:gridCol w:w="4942"/>
      </w:tblGrid>
      <w:tr w:rsidR="00A95E1D" w:rsidRPr="00FB4D96" w:rsidTr="00A95E1D">
        <w:trPr>
          <w:trHeight w:val="786"/>
        </w:trPr>
        <w:tc>
          <w:tcPr>
            <w:tcW w:w="4942" w:type="dxa"/>
          </w:tcPr>
          <w:p w:rsidR="00A95E1D" w:rsidRPr="00FB4D96" w:rsidRDefault="00A95E1D" w:rsidP="00A95E1D">
            <w:pPr>
              <w:jc w:val="center"/>
              <w:rPr>
                <w:rFonts w:cs="Arial"/>
                <w:b/>
                <w:sz w:val="24"/>
                <w:szCs w:val="24"/>
              </w:rPr>
            </w:pPr>
          </w:p>
          <w:p w:rsidR="00A95E1D" w:rsidRPr="00FB4D96" w:rsidRDefault="00A95E1D" w:rsidP="00A95E1D">
            <w:pPr>
              <w:jc w:val="center"/>
              <w:rPr>
                <w:rFonts w:cs="Arial"/>
                <w:b/>
                <w:sz w:val="24"/>
                <w:szCs w:val="24"/>
              </w:rPr>
            </w:pPr>
            <w:r w:rsidRPr="00FB4D96">
              <w:rPr>
                <w:rFonts w:cs="Arial"/>
                <w:b/>
                <w:sz w:val="24"/>
                <w:szCs w:val="24"/>
              </w:rPr>
              <w:t>DROIT ADMINISTRATIF GENERAL</w:t>
            </w:r>
          </w:p>
          <w:p w:rsidR="00A95E1D" w:rsidRPr="00FB4D96" w:rsidRDefault="00A95E1D" w:rsidP="00A95E1D">
            <w:pPr>
              <w:jc w:val="both"/>
              <w:rPr>
                <w:rFonts w:cs="Arial"/>
                <w:b/>
                <w:sz w:val="24"/>
                <w:szCs w:val="24"/>
              </w:rPr>
            </w:pPr>
          </w:p>
        </w:tc>
      </w:tr>
    </w:tbl>
    <w:p w:rsidR="00FF2743" w:rsidRPr="00FB4D96" w:rsidRDefault="00FF2743" w:rsidP="00B7179F">
      <w:pPr>
        <w:pStyle w:val="En-tte"/>
        <w:jc w:val="both"/>
        <w:rPr>
          <w:rFonts w:cs="Arial"/>
          <w:b/>
          <w:sz w:val="24"/>
          <w:szCs w:val="24"/>
        </w:rPr>
      </w:pPr>
      <w:r w:rsidRPr="00FB4D96">
        <w:rPr>
          <w:rFonts w:cs="Arial"/>
          <w:b/>
          <w:sz w:val="24"/>
          <w:szCs w:val="24"/>
        </w:rPr>
        <w:t xml:space="preserve">                                                                                     </w:t>
      </w:r>
    </w:p>
    <w:p w:rsidR="00FE7DC1" w:rsidRPr="00FB4D96" w:rsidRDefault="00FE7DC1" w:rsidP="00B7179F">
      <w:pPr>
        <w:pStyle w:val="En-tte"/>
        <w:jc w:val="both"/>
        <w:rPr>
          <w:rFonts w:cs="Arial"/>
          <w:b/>
          <w:sz w:val="24"/>
          <w:szCs w:val="24"/>
        </w:rPr>
      </w:pPr>
    </w:p>
    <w:p w:rsidR="00406A40" w:rsidRPr="00FB4D96" w:rsidRDefault="00406A40" w:rsidP="00B7179F">
      <w:pPr>
        <w:pStyle w:val="Sansinterligne"/>
        <w:jc w:val="both"/>
        <w:rPr>
          <w:sz w:val="40"/>
          <w:szCs w:val="24"/>
        </w:rPr>
      </w:pPr>
    </w:p>
    <w:p w:rsidR="00406A40" w:rsidRPr="00FB4D96" w:rsidRDefault="00970143" w:rsidP="00B7179F">
      <w:pPr>
        <w:pStyle w:val="Sansinterligne"/>
        <w:jc w:val="both"/>
        <w:rPr>
          <w:rFonts w:cs="Arial"/>
          <w:b/>
          <w:sz w:val="24"/>
          <w:szCs w:val="24"/>
        </w:rPr>
      </w:pPr>
      <w:r w:rsidRPr="00FB4D96">
        <w:rPr>
          <w:rFonts w:cs="Arial"/>
          <w:b/>
          <w:sz w:val="24"/>
          <w:szCs w:val="24"/>
        </w:rPr>
        <w:t>TRAVAUX DIRIGES</w:t>
      </w:r>
    </w:p>
    <w:p w:rsidR="00965385" w:rsidRPr="00FB4D96" w:rsidRDefault="00965385" w:rsidP="00B7179F">
      <w:pPr>
        <w:pStyle w:val="Sansinterligne"/>
        <w:jc w:val="both"/>
        <w:rPr>
          <w:rFonts w:cs="Arial"/>
          <w:b/>
          <w:sz w:val="24"/>
          <w:szCs w:val="24"/>
        </w:rPr>
      </w:pPr>
    </w:p>
    <w:p w:rsidR="00970143" w:rsidRPr="00FB4D96" w:rsidRDefault="00970143" w:rsidP="00B7179F">
      <w:pPr>
        <w:pStyle w:val="Sansinterligne"/>
        <w:jc w:val="both"/>
        <w:rPr>
          <w:rFonts w:cs="Arial"/>
          <w:b/>
          <w:sz w:val="2"/>
          <w:szCs w:val="24"/>
        </w:rPr>
      </w:pPr>
    </w:p>
    <w:p w:rsidR="00FB4D96" w:rsidRPr="00FB4D96" w:rsidRDefault="00541D3C" w:rsidP="00FB4D96">
      <w:pPr>
        <w:jc w:val="center"/>
        <w:rPr>
          <w:b/>
          <w:sz w:val="36"/>
          <w:szCs w:val="24"/>
        </w:rPr>
      </w:pPr>
      <w:r w:rsidRPr="00FB4D96">
        <w:rPr>
          <w:b/>
          <w:sz w:val="36"/>
          <w:szCs w:val="24"/>
        </w:rPr>
        <w:t>FICHE</w:t>
      </w:r>
      <w:r w:rsidR="003D4BEE">
        <w:rPr>
          <w:b/>
          <w:sz w:val="36"/>
          <w:szCs w:val="24"/>
        </w:rPr>
        <w:t xml:space="preserve"> N° 7</w:t>
      </w:r>
    </w:p>
    <w:p w:rsidR="00406A40" w:rsidRPr="00FB4D96" w:rsidRDefault="00FB4D96" w:rsidP="00B7179F">
      <w:pPr>
        <w:jc w:val="both"/>
        <w:rPr>
          <w:b/>
          <w:color w:val="FF0000"/>
          <w:sz w:val="24"/>
          <w:szCs w:val="24"/>
        </w:rPr>
      </w:pPr>
      <w:r w:rsidRPr="00FB4D96">
        <w:rPr>
          <w:b/>
          <w:sz w:val="24"/>
          <w:szCs w:val="24"/>
          <w:u w:val="single"/>
        </w:rPr>
        <w:t>THEME</w:t>
      </w:r>
      <w:r w:rsidRPr="00FB4D96">
        <w:rPr>
          <w:b/>
          <w:sz w:val="24"/>
          <w:szCs w:val="24"/>
        </w:rPr>
        <w:t xml:space="preserve"> : </w:t>
      </w:r>
      <w:r w:rsidR="001B4BD6" w:rsidRPr="00FB4D96">
        <w:rPr>
          <w:b/>
          <w:sz w:val="24"/>
          <w:szCs w:val="24"/>
        </w:rPr>
        <w:t>LE RECOURS DE PLEIN CONTENTIEUX</w:t>
      </w:r>
      <w:r w:rsidR="00CA38C8" w:rsidRPr="00FB4D96">
        <w:rPr>
          <w:b/>
          <w:sz w:val="24"/>
          <w:szCs w:val="24"/>
        </w:rPr>
        <w:t xml:space="preserve"> </w:t>
      </w:r>
      <w:r w:rsidR="00CA38C8" w:rsidRPr="00FB4D96">
        <w:rPr>
          <w:b/>
          <w:color w:val="FF0000"/>
          <w:sz w:val="24"/>
          <w:szCs w:val="24"/>
        </w:rPr>
        <w:t xml:space="preserve"> </w:t>
      </w:r>
    </w:p>
    <w:p w:rsidR="00965385" w:rsidRPr="00FB4D96" w:rsidRDefault="00965385" w:rsidP="00B7179F">
      <w:pPr>
        <w:jc w:val="both"/>
        <w:rPr>
          <w:b/>
          <w:sz w:val="2"/>
          <w:szCs w:val="24"/>
        </w:rPr>
      </w:pPr>
    </w:p>
    <w:p w:rsidR="006E597E" w:rsidRDefault="00896F42" w:rsidP="00FB4D96">
      <w:pPr>
        <w:pStyle w:val="Sansinterligne"/>
        <w:spacing w:before="240" w:line="276" w:lineRule="auto"/>
        <w:jc w:val="both"/>
        <w:rPr>
          <w:rFonts w:cs="Arial"/>
          <w:sz w:val="24"/>
          <w:szCs w:val="24"/>
        </w:rPr>
      </w:pPr>
      <w:r w:rsidRPr="00FB4D96">
        <w:rPr>
          <w:rFonts w:cs="Arial"/>
          <w:sz w:val="24"/>
          <w:szCs w:val="24"/>
        </w:rPr>
        <w:t xml:space="preserve">Le </w:t>
      </w:r>
      <w:r w:rsidR="003D4BEE">
        <w:rPr>
          <w:rFonts w:cs="Arial"/>
          <w:sz w:val="24"/>
          <w:szCs w:val="24"/>
        </w:rPr>
        <w:t>recours</w:t>
      </w:r>
      <w:r w:rsidR="006E597E" w:rsidRPr="00FB4D96">
        <w:rPr>
          <w:rFonts w:cs="Arial"/>
          <w:sz w:val="24"/>
          <w:szCs w:val="24"/>
        </w:rPr>
        <w:t xml:space="preserve"> </w:t>
      </w:r>
      <w:r w:rsidR="003D4BEE">
        <w:rPr>
          <w:rFonts w:cs="Arial"/>
          <w:sz w:val="24"/>
          <w:szCs w:val="24"/>
        </w:rPr>
        <w:t>de plein contentieux (ou de pleine juridiction) correspond au contentieux des droits. Il comprend plusieurs branches : le contentieux fiscal, le contentieux contractuel, le contentieux de la responsabilité et le contentieux électoral.</w:t>
      </w:r>
      <w:r w:rsidR="00B54D17">
        <w:rPr>
          <w:rFonts w:cs="Arial"/>
          <w:sz w:val="24"/>
          <w:szCs w:val="24"/>
        </w:rPr>
        <w:t xml:space="preserve"> Son caractère subjectif provient du fait que ce sont des situations juridiques et des droits individuels qui sont en cause, d’où l’opposabilité </w:t>
      </w:r>
      <w:r w:rsidR="00B54D17" w:rsidRPr="00B54D17">
        <w:rPr>
          <w:rFonts w:cs="Arial"/>
          <w:i/>
          <w:sz w:val="24"/>
          <w:szCs w:val="24"/>
        </w:rPr>
        <w:t>inter partes</w:t>
      </w:r>
      <w:r w:rsidR="00B54D17">
        <w:rPr>
          <w:rFonts w:cs="Arial"/>
          <w:sz w:val="24"/>
          <w:szCs w:val="24"/>
        </w:rPr>
        <w:t xml:space="preserve"> de la décision du juge. Celui-ci n’a pas qu’un pouvoir d’annulation : il peut tout aussi bien procéder à la condamnation pécuniaire de l’Administration ou</w:t>
      </w:r>
      <w:r w:rsidR="005E1643">
        <w:rPr>
          <w:rFonts w:cs="Arial"/>
          <w:sz w:val="24"/>
          <w:szCs w:val="24"/>
        </w:rPr>
        <w:t>, parfois,</w:t>
      </w:r>
      <w:r w:rsidR="00B54D17">
        <w:rPr>
          <w:rFonts w:cs="Arial"/>
          <w:sz w:val="24"/>
          <w:szCs w:val="24"/>
        </w:rPr>
        <w:t xml:space="preserve"> à une substitution de sa propre décision à celle qui est attaquée. Toutefois, il faut relever que le recours de pleine juridiction est soumis à une procédure spéciale</w:t>
      </w:r>
      <w:r w:rsidR="002D39D9">
        <w:rPr>
          <w:rFonts w:cs="Arial"/>
          <w:sz w:val="24"/>
          <w:szCs w:val="24"/>
        </w:rPr>
        <w:t xml:space="preserve"> fixée par les articles 729 à 733 du Code de procédure civile du Sénégal.</w:t>
      </w:r>
    </w:p>
    <w:p w:rsidR="002D39D9" w:rsidRPr="00FB4D96" w:rsidRDefault="002D39D9" w:rsidP="00FB4D96">
      <w:pPr>
        <w:pStyle w:val="Sansinterligne"/>
        <w:spacing w:before="240" w:line="276" w:lineRule="auto"/>
        <w:jc w:val="both"/>
        <w:rPr>
          <w:rFonts w:cs="Arial"/>
          <w:sz w:val="24"/>
          <w:szCs w:val="24"/>
        </w:rPr>
      </w:pPr>
      <w:r>
        <w:rPr>
          <w:rFonts w:cs="Arial"/>
          <w:sz w:val="24"/>
          <w:szCs w:val="24"/>
        </w:rPr>
        <w:t>L’objet de cette séance est précisément d’étudier les conditions de recevabilité du recours de plein contentieux. Plus concrètement, il s’agira de poursuivre la méthodologie du commentaire de texte.</w:t>
      </w:r>
    </w:p>
    <w:p w:rsidR="00120E41" w:rsidRPr="00FB4D96" w:rsidRDefault="00120E41" w:rsidP="00B7179F">
      <w:pPr>
        <w:pStyle w:val="Sansinterligne"/>
        <w:jc w:val="both"/>
        <w:rPr>
          <w:rFonts w:cs="Arial"/>
          <w:b/>
          <w:sz w:val="24"/>
          <w:szCs w:val="24"/>
        </w:rPr>
      </w:pPr>
    </w:p>
    <w:p w:rsidR="00A95E1D" w:rsidRPr="00FB4D96" w:rsidRDefault="00A95E1D" w:rsidP="00B7179F">
      <w:pPr>
        <w:pStyle w:val="Sansinterligne"/>
        <w:jc w:val="both"/>
        <w:rPr>
          <w:rFonts w:cs="Arial"/>
          <w:b/>
          <w:sz w:val="24"/>
          <w:szCs w:val="24"/>
        </w:rPr>
      </w:pPr>
    </w:p>
    <w:p w:rsidR="005243E4" w:rsidRPr="00FB4D96" w:rsidRDefault="008B62BF" w:rsidP="00B7179F">
      <w:pPr>
        <w:pStyle w:val="Sansinterligne"/>
        <w:numPr>
          <w:ilvl w:val="0"/>
          <w:numId w:val="5"/>
        </w:numPr>
        <w:jc w:val="both"/>
        <w:rPr>
          <w:rFonts w:cs="Arial"/>
          <w:b/>
          <w:sz w:val="24"/>
          <w:szCs w:val="24"/>
        </w:rPr>
      </w:pPr>
      <w:r w:rsidRPr="00FB4D96">
        <w:rPr>
          <w:rFonts w:cs="Arial"/>
          <w:b/>
          <w:sz w:val="24"/>
          <w:szCs w:val="24"/>
        </w:rPr>
        <w:t>BIBLIOG</w:t>
      </w:r>
      <w:r w:rsidR="00AE4228" w:rsidRPr="00FB4D96">
        <w:rPr>
          <w:rFonts w:cs="Arial"/>
          <w:b/>
          <w:sz w:val="24"/>
          <w:szCs w:val="24"/>
        </w:rPr>
        <w:t>RAPHIE</w:t>
      </w:r>
    </w:p>
    <w:p w:rsidR="00AE4228" w:rsidRPr="00FB4D96" w:rsidRDefault="00AE4228" w:rsidP="00B7179F">
      <w:pPr>
        <w:pStyle w:val="Sansinterligne"/>
        <w:jc w:val="both"/>
        <w:rPr>
          <w:rFonts w:cs="Arial"/>
          <w:b/>
          <w:sz w:val="24"/>
          <w:szCs w:val="24"/>
        </w:rPr>
      </w:pPr>
    </w:p>
    <w:p w:rsidR="00AE4228" w:rsidRPr="00FB4D96" w:rsidRDefault="00AE4228" w:rsidP="00B7179F">
      <w:pPr>
        <w:pStyle w:val="Sansinterligne"/>
        <w:jc w:val="both"/>
        <w:rPr>
          <w:rFonts w:cs="Arial"/>
          <w:b/>
          <w:sz w:val="24"/>
          <w:szCs w:val="24"/>
        </w:rPr>
      </w:pPr>
      <w:r w:rsidRPr="00FB4D96">
        <w:rPr>
          <w:rFonts w:cs="Arial"/>
          <w:b/>
          <w:sz w:val="24"/>
          <w:szCs w:val="24"/>
        </w:rPr>
        <w:t>Pour la bibliographie des ouvrages, voir Fiche</w:t>
      </w:r>
      <w:r w:rsidR="005E1643">
        <w:rPr>
          <w:rFonts w:cs="Arial"/>
          <w:b/>
          <w:sz w:val="24"/>
          <w:szCs w:val="24"/>
        </w:rPr>
        <w:t xml:space="preserve"> de prise de contact du Semestre 1</w:t>
      </w:r>
      <w:r w:rsidRPr="00FB4D96">
        <w:rPr>
          <w:rFonts w:cs="Arial"/>
          <w:b/>
          <w:sz w:val="24"/>
          <w:szCs w:val="24"/>
        </w:rPr>
        <w:t>.</w:t>
      </w:r>
    </w:p>
    <w:p w:rsidR="00F63A92" w:rsidRPr="00FB4D96" w:rsidRDefault="00F63A92" w:rsidP="00B7179F">
      <w:pPr>
        <w:pStyle w:val="Paragraphedeliste"/>
        <w:jc w:val="both"/>
        <w:rPr>
          <w:rFonts w:cs="Arial"/>
          <w:sz w:val="24"/>
          <w:szCs w:val="24"/>
        </w:rPr>
      </w:pPr>
    </w:p>
    <w:p w:rsidR="00A57B5E" w:rsidRPr="00FB4D96" w:rsidRDefault="00324F04" w:rsidP="00B7179F">
      <w:pPr>
        <w:pStyle w:val="Sansinterligne"/>
        <w:numPr>
          <w:ilvl w:val="0"/>
          <w:numId w:val="6"/>
        </w:numPr>
        <w:jc w:val="both"/>
        <w:rPr>
          <w:rFonts w:cs="Arial"/>
          <w:b/>
          <w:sz w:val="24"/>
          <w:szCs w:val="24"/>
          <w:u w:val="single"/>
        </w:rPr>
      </w:pPr>
      <w:r w:rsidRPr="00FB4D96">
        <w:rPr>
          <w:rFonts w:cs="Arial"/>
          <w:b/>
          <w:sz w:val="24"/>
          <w:szCs w:val="24"/>
          <w:u w:val="single"/>
        </w:rPr>
        <w:t>Articles</w:t>
      </w:r>
    </w:p>
    <w:p w:rsidR="007F3E5F" w:rsidRPr="00FB4D96" w:rsidRDefault="007F3E5F" w:rsidP="00B7179F">
      <w:pPr>
        <w:pStyle w:val="Sansinterligne"/>
        <w:ind w:left="360"/>
        <w:jc w:val="both"/>
        <w:rPr>
          <w:rFonts w:cs="Arial"/>
          <w:sz w:val="24"/>
          <w:szCs w:val="24"/>
        </w:rPr>
      </w:pPr>
    </w:p>
    <w:p w:rsidR="00075137" w:rsidRPr="00FB4D96" w:rsidRDefault="00A57B5E" w:rsidP="00B7179F">
      <w:pPr>
        <w:pStyle w:val="Sansinterligne"/>
        <w:numPr>
          <w:ilvl w:val="0"/>
          <w:numId w:val="3"/>
        </w:numPr>
        <w:jc w:val="both"/>
        <w:rPr>
          <w:rFonts w:cs="Arial"/>
          <w:sz w:val="24"/>
          <w:szCs w:val="24"/>
        </w:rPr>
      </w:pPr>
      <w:r w:rsidRPr="00FB4D96">
        <w:rPr>
          <w:rFonts w:cs="Arial"/>
          <w:sz w:val="24"/>
          <w:szCs w:val="24"/>
        </w:rPr>
        <w:t>A. BOCKEL,</w:t>
      </w:r>
      <w:r w:rsidR="00075137" w:rsidRPr="00FB4D96">
        <w:rPr>
          <w:rFonts w:cs="Times New Roman"/>
          <w:sz w:val="24"/>
          <w:szCs w:val="24"/>
        </w:rPr>
        <w:t xml:space="preserve"> « Sur la difficile gestation d’un droit administratif sénégalais. Brèves réflexions à partir de quelques décisions rendues en plein contentieux », </w:t>
      </w:r>
      <w:r w:rsidR="00075137" w:rsidRPr="00FB4D96">
        <w:rPr>
          <w:rFonts w:cs="Times New Roman"/>
          <w:i/>
          <w:sz w:val="24"/>
          <w:szCs w:val="24"/>
        </w:rPr>
        <w:t>AA</w:t>
      </w:r>
      <w:r w:rsidR="00075137" w:rsidRPr="00FB4D96">
        <w:rPr>
          <w:rFonts w:cs="Times New Roman"/>
          <w:sz w:val="24"/>
          <w:szCs w:val="24"/>
        </w:rPr>
        <w:t>, 1973, p.137 et s ;</w:t>
      </w:r>
      <w:r w:rsidRPr="00FB4D96">
        <w:rPr>
          <w:rFonts w:cs="Arial"/>
          <w:sz w:val="24"/>
          <w:szCs w:val="24"/>
        </w:rPr>
        <w:t xml:space="preserve"> </w:t>
      </w:r>
      <w:r w:rsidRPr="00FB4D96">
        <w:rPr>
          <w:rFonts w:cs="Times New Roman"/>
          <w:sz w:val="24"/>
          <w:szCs w:val="24"/>
        </w:rPr>
        <w:t>«</w:t>
      </w:r>
      <w:r w:rsidR="00AE4228" w:rsidRPr="00FB4D96">
        <w:rPr>
          <w:rFonts w:cs="Arial"/>
          <w:sz w:val="24"/>
          <w:szCs w:val="24"/>
        </w:rPr>
        <w:t xml:space="preserve"> Le contrôle juridictionnel de l’administration</w:t>
      </w:r>
      <w:r w:rsidRPr="00FB4D96">
        <w:rPr>
          <w:rFonts w:cs="Arial"/>
          <w:sz w:val="24"/>
          <w:szCs w:val="24"/>
        </w:rPr>
        <w:t xml:space="preserve"> </w:t>
      </w:r>
      <w:r w:rsidR="00123A5C" w:rsidRPr="00FB4D96">
        <w:rPr>
          <w:rFonts w:cs="Times New Roman"/>
          <w:sz w:val="24"/>
          <w:szCs w:val="24"/>
        </w:rPr>
        <w:t xml:space="preserve">», </w:t>
      </w:r>
      <w:r w:rsidR="00123A5C" w:rsidRPr="00FB4D96">
        <w:rPr>
          <w:rFonts w:cs="Times New Roman"/>
          <w:i/>
          <w:sz w:val="24"/>
          <w:szCs w:val="24"/>
        </w:rPr>
        <w:t>in</w:t>
      </w:r>
      <w:r w:rsidR="00123A5C" w:rsidRPr="00FB4D96">
        <w:rPr>
          <w:rFonts w:cs="Times New Roman"/>
          <w:sz w:val="24"/>
          <w:szCs w:val="24"/>
        </w:rPr>
        <w:t xml:space="preserve"> G. Conac (dir.), </w:t>
      </w:r>
      <w:r w:rsidR="00123A5C" w:rsidRPr="00FB4D96">
        <w:rPr>
          <w:rFonts w:cs="Times New Roman"/>
          <w:i/>
          <w:sz w:val="24"/>
          <w:szCs w:val="24"/>
        </w:rPr>
        <w:t>Les institutions administratives des Etats  francophones d’Afrique noire</w:t>
      </w:r>
      <w:r w:rsidR="00123A5C" w:rsidRPr="00FB4D96">
        <w:rPr>
          <w:rFonts w:cs="Times New Roman"/>
          <w:sz w:val="24"/>
          <w:szCs w:val="24"/>
        </w:rPr>
        <w:t xml:space="preserve">,  Paris, Economica, 1979, pp. 197-218. </w:t>
      </w:r>
    </w:p>
    <w:p w:rsidR="00B22957" w:rsidRPr="00FB4D96" w:rsidRDefault="00B22957" w:rsidP="00B7179F">
      <w:pPr>
        <w:pStyle w:val="Sansinterligne"/>
        <w:numPr>
          <w:ilvl w:val="0"/>
          <w:numId w:val="3"/>
        </w:numPr>
        <w:jc w:val="both"/>
        <w:rPr>
          <w:rFonts w:cs="Arial"/>
          <w:sz w:val="24"/>
          <w:szCs w:val="24"/>
        </w:rPr>
      </w:pPr>
      <w:r w:rsidRPr="00FB4D96">
        <w:rPr>
          <w:rFonts w:cs="Arial"/>
          <w:sz w:val="24"/>
          <w:szCs w:val="24"/>
        </w:rPr>
        <w:t xml:space="preserve">Nd. M. DIAGNE, « Le juge et l’Etat de droit », </w:t>
      </w:r>
      <w:r w:rsidRPr="00FB4D96">
        <w:rPr>
          <w:rFonts w:cs="Arial"/>
          <w:i/>
          <w:sz w:val="24"/>
          <w:szCs w:val="24"/>
        </w:rPr>
        <w:t>RA</w:t>
      </w:r>
      <w:r w:rsidRPr="00FB4D96">
        <w:rPr>
          <w:rFonts w:cs="Arial"/>
          <w:sz w:val="24"/>
          <w:szCs w:val="24"/>
        </w:rPr>
        <w:t>, n° spécial 6, 1999, p. 81 et s.</w:t>
      </w:r>
    </w:p>
    <w:p w:rsidR="00B72E1A" w:rsidRPr="00FB4D96" w:rsidRDefault="00123A5C" w:rsidP="00B7179F">
      <w:pPr>
        <w:pStyle w:val="Sansinterligne"/>
        <w:jc w:val="both"/>
        <w:rPr>
          <w:rFonts w:cs="Arial"/>
          <w:sz w:val="24"/>
          <w:szCs w:val="24"/>
        </w:rPr>
      </w:pPr>
      <w:r w:rsidRPr="00FB4D96">
        <w:rPr>
          <w:rFonts w:cs="Times New Roman"/>
          <w:sz w:val="24"/>
          <w:szCs w:val="24"/>
        </w:rPr>
        <w:t xml:space="preserve"> </w:t>
      </w:r>
    </w:p>
    <w:p w:rsidR="009C5195" w:rsidRPr="00FB4D96" w:rsidRDefault="009C5195" w:rsidP="00B7179F">
      <w:pPr>
        <w:pStyle w:val="Sansinterligne"/>
        <w:numPr>
          <w:ilvl w:val="0"/>
          <w:numId w:val="3"/>
        </w:numPr>
        <w:jc w:val="both"/>
        <w:rPr>
          <w:rFonts w:cs="Arial"/>
          <w:sz w:val="24"/>
          <w:szCs w:val="24"/>
        </w:rPr>
      </w:pPr>
      <w:r w:rsidRPr="00FB4D96">
        <w:rPr>
          <w:rFonts w:cs="Times New Roman"/>
          <w:sz w:val="24"/>
          <w:szCs w:val="24"/>
        </w:rPr>
        <w:t>E. MBODJ, «</w:t>
      </w:r>
      <w:r w:rsidR="00997F2B" w:rsidRPr="00FB4D96">
        <w:rPr>
          <w:rFonts w:cs="Times New Roman"/>
          <w:sz w:val="24"/>
          <w:szCs w:val="24"/>
        </w:rPr>
        <w:t xml:space="preserve"> </w:t>
      </w:r>
      <w:r w:rsidRPr="00FB4D96">
        <w:rPr>
          <w:rFonts w:cs="Times New Roman"/>
          <w:sz w:val="24"/>
          <w:szCs w:val="24"/>
        </w:rPr>
        <w:t>Les incidences de la réforme judiciaire du 30 mai 1992 sur le contentieux administratif sénégalais</w:t>
      </w:r>
      <w:r w:rsidR="00997F2B" w:rsidRPr="00FB4D96">
        <w:rPr>
          <w:rFonts w:cs="Times New Roman"/>
          <w:sz w:val="24"/>
          <w:szCs w:val="24"/>
        </w:rPr>
        <w:t xml:space="preserve"> </w:t>
      </w:r>
      <w:r w:rsidRPr="00FB4D96">
        <w:rPr>
          <w:rFonts w:cs="Times New Roman"/>
          <w:sz w:val="24"/>
          <w:szCs w:val="24"/>
        </w:rPr>
        <w:t xml:space="preserve">», </w:t>
      </w:r>
      <w:r w:rsidRPr="00FB4D96">
        <w:rPr>
          <w:rFonts w:cs="Times New Roman"/>
          <w:i/>
          <w:sz w:val="24"/>
          <w:szCs w:val="24"/>
        </w:rPr>
        <w:t>EDJA</w:t>
      </w:r>
      <w:r w:rsidRPr="00FB4D96">
        <w:rPr>
          <w:rFonts w:cs="Times New Roman"/>
          <w:sz w:val="24"/>
          <w:szCs w:val="24"/>
        </w:rPr>
        <w:t>, n° 25, Avril –</w:t>
      </w:r>
      <w:r w:rsidR="002F2D50" w:rsidRPr="00FB4D96">
        <w:rPr>
          <w:rFonts w:cs="Times New Roman"/>
          <w:sz w:val="24"/>
          <w:szCs w:val="24"/>
        </w:rPr>
        <w:t xml:space="preserve"> Mai – Juin 1995, p. 17 et s.</w:t>
      </w:r>
    </w:p>
    <w:p w:rsidR="00DD1D7E" w:rsidRPr="00FB4D96" w:rsidRDefault="00DD1D7E" w:rsidP="00B7179F">
      <w:pPr>
        <w:pStyle w:val="Paragraphedeliste"/>
        <w:jc w:val="both"/>
        <w:rPr>
          <w:rFonts w:cs="Arial"/>
          <w:sz w:val="24"/>
          <w:szCs w:val="24"/>
        </w:rPr>
      </w:pPr>
    </w:p>
    <w:p w:rsidR="002F2D50" w:rsidRPr="00FB4D96" w:rsidRDefault="002F2D50" w:rsidP="00B7179F">
      <w:pPr>
        <w:pStyle w:val="Sansinterligne"/>
        <w:numPr>
          <w:ilvl w:val="0"/>
          <w:numId w:val="3"/>
        </w:numPr>
        <w:jc w:val="both"/>
        <w:rPr>
          <w:rFonts w:cs="Arial"/>
          <w:sz w:val="24"/>
          <w:szCs w:val="24"/>
        </w:rPr>
      </w:pPr>
      <w:r w:rsidRPr="00FB4D96">
        <w:rPr>
          <w:rFonts w:cs="Times New Roman"/>
          <w:sz w:val="24"/>
          <w:szCs w:val="24"/>
        </w:rPr>
        <w:t>M. NGAIDE, «</w:t>
      </w:r>
      <w:r w:rsidR="00997F2B" w:rsidRPr="00FB4D96">
        <w:rPr>
          <w:rFonts w:cs="Times New Roman"/>
          <w:sz w:val="24"/>
          <w:szCs w:val="24"/>
        </w:rPr>
        <w:t xml:space="preserve"> L</w:t>
      </w:r>
      <w:r w:rsidR="00B22957" w:rsidRPr="00FB4D96">
        <w:rPr>
          <w:rFonts w:cs="Times New Roman"/>
          <w:sz w:val="24"/>
          <w:szCs w:val="24"/>
        </w:rPr>
        <w:t>a notion de matière administrative : évolution de la jurisprudence sénégalaise</w:t>
      </w:r>
      <w:r w:rsidR="00997F2B" w:rsidRPr="00FB4D96">
        <w:rPr>
          <w:rFonts w:cs="Times New Roman"/>
          <w:sz w:val="24"/>
          <w:szCs w:val="24"/>
        </w:rPr>
        <w:t xml:space="preserve"> </w:t>
      </w:r>
      <w:r w:rsidRPr="00FB4D96">
        <w:rPr>
          <w:rFonts w:cs="Times New Roman"/>
          <w:sz w:val="24"/>
          <w:szCs w:val="24"/>
        </w:rPr>
        <w:t xml:space="preserve">», </w:t>
      </w:r>
      <w:r w:rsidR="00B22957" w:rsidRPr="00FB4D96">
        <w:rPr>
          <w:rFonts w:cs="Times New Roman"/>
          <w:sz w:val="24"/>
          <w:szCs w:val="24"/>
        </w:rPr>
        <w:t xml:space="preserve"> </w:t>
      </w:r>
      <w:r w:rsidRPr="00FB4D96">
        <w:rPr>
          <w:rFonts w:cs="Times New Roman"/>
          <w:i/>
          <w:sz w:val="24"/>
          <w:szCs w:val="24"/>
        </w:rPr>
        <w:t>R</w:t>
      </w:r>
      <w:r w:rsidR="0064554D" w:rsidRPr="00FB4D96">
        <w:rPr>
          <w:rFonts w:cs="Times New Roman"/>
          <w:i/>
          <w:sz w:val="24"/>
          <w:szCs w:val="24"/>
        </w:rPr>
        <w:t>A</w:t>
      </w:r>
      <w:r w:rsidRPr="00FB4D96">
        <w:rPr>
          <w:rFonts w:cs="Times New Roman"/>
          <w:i/>
          <w:sz w:val="24"/>
          <w:szCs w:val="24"/>
        </w:rPr>
        <w:t>SDP</w:t>
      </w:r>
      <w:r w:rsidRPr="00FB4D96">
        <w:rPr>
          <w:rFonts w:cs="Times New Roman"/>
          <w:sz w:val="24"/>
          <w:szCs w:val="24"/>
        </w:rPr>
        <w:t>, n° 5 – 6 – 7 – 8, 1997 – 1998, p. 147 et s.</w:t>
      </w:r>
    </w:p>
    <w:p w:rsidR="00991823" w:rsidRPr="00FB4D96" w:rsidRDefault="00991823" w:rsidP="00B7179F">
      <w:pPr>
        <w:pStyle w:val="Sansinterligne"/>
        <w:ind w:left="720"/>
        <w:jc w:val="both"/>
        <w:rPr>
          <w:rFonts w:cs="Arial"/>
          <w:sz w:val="24"/>
          <w:szCs w:val="24"/>
        </w:rPr>
      </w:pPr>
    </w:p>
    <w:p w:rsidR="009E11AE" w:rsidRPr="00FB4D96" w:rsidRDefault="002F2D50" w:rsidP="00B7179F">
      <w:pPr>
        <w:pStyle w:val="Sansinterligne"/>
        <w:numPr>
          <w:ilvl w:val="0"/>
          <w:numId w:val="3"/>
        </w:numPr>
        <w:jc w:val="both"/>
        <w:rPr>
          <w:rFonts w:cs="Arial"/>
          <w:sz w:val="24"/>
          <w:szCs w:val="24"/>
        </w:rPr>
      </w:pPr>
      <w:r w:rsidRPr="00FB4D96">
        <w:rPr>
          <w:rFonts w:cs="Times New Roman"/>
          <w:sz w:val="24"/>
          <w:szCs w:val="24"/>
        </w:rPr>
        <w:t>J. M. NZOUANKEU, «</w:t>
      </w:r>
      <w:r w:rsidR="00997F2B" w:rsidRPr="00FB4D96">
        <w:rPr>
          <w:rFonts w:cs="Times New Roman"/>
          <w:sz w:val="24"/>
          <w:szCs w:val="24"/>
        </w:rPr>
        <w:t xml:space="preserve"> </w:t>
      </w:r>
      <w:r w:rsidRPr="00FB4D96">
        <w:rPr>
          <w:rFonts w:cs="Times New Roman"/>
          <w:sz w:val="24"/>
          <w:szCs w:val="24"/>
        </w:rPr>
        <w:t>Remarques sur quelques particularités du droit administratif sénégalais »</w:t>
      </w:r>
      <w:r w:rsidR="00991823" w:rsidRPr="00FB4D96">
        <w:rPr>
          <w:rFonts w:cs="Times New Roman"/>
          <w:sz w:val="24"/>
          <w:szCs w:val="24"/>
        </w:rPr>
        <w:t xml:space="preserve">, </w:t>
      </w:r>
      <w:r w:rsidR="00991823" w:rsidRPr="00FB4D96">
        <w:rPr>
          <w:rFonts w:cs="Times New Roman"/>
          <w:i/>
          <w:sz w:val="24"/>
          <w:szCs w:val="24"/>
        </w:rPr>
        <w:t>RIP</w:t>
      </w:r>
      <w:r w:rsidRPr="00FB4D96">
        <w:rPr>
          <w:rFonts w:cs="Times New Roman"/>
          <w:i/>
          <w:sz w:val="24"/>
          <w:szCs w:val="24"/>
        </w:rPr>
        <w:t>AS,</w:t>
      </w:r>
      <w:r w:rsidRPr="00FB4D96">
        <w:rPr>
          <w:rFonts w:cs="Times New Roman"/>
          <w:sz w:val="24"/>
          <w:szCs w:val="24"/>
        </w:rPr>
        <w:t xml:space="preserve"> n° 9, 1984, p. 1 et s.</w:t>
      </w:r>
      <w:r w:rsidR="001B68A2" w:rsidRPr="00FB4D96">
        <w:rPr>
          <w:rFonts w:cs="Times New Roman"/>
          <w:sz w:val="24"/>
          <w:szCs w:val="24"/>
        </w:rPr>
        <w:t xml:space="preserve"> </w:t>
      </w:r>
    </w:p>
    <w:p w:rsidR="00B22957" w:rsidRPr="00FB4D96" w:rsidRDefault="00B22957" w:rsidP="00B7179F">
      <w:pPr>
        <w:pStyle w:val="Paragraphedeliste"/>
        <w:jc w:val="both"/>
        <w:rPr>
          <w:rFonts w:cs="Arial"/>
          <w:sz w:val="24"/>
          <w:szCs w:val="24"/>
        </w:rPr>
      </w:pPr>
    </w:p>
    <w:p w:rsidR="00B22957" w:rsidRPr="00FB4D96" w:rsidRDefault="00B22957" w:rsidP="00B7179F">
      <w:pPr>
        <w:pStyle w:val="Sansinterligne"/>
        <w:numPr>
          <w:ilvl w:val="0"/>
          <w:numId w:val="3"/>
        </w:numPr>
        <w:jc w:val="both"/>
        <w:rPr>
          <w:rFonts w:cs="Arial"/>
          <w:sz w:val="24"/>
          <w:szCs w:val="24"/>
        </w:rPr>
      </w:pPr>
      <w:r w:rsidRPr="00FB4D96">
        <w:rPr>
          <w:rFonts w:cs="Arial"/>
          <w:sz w:val="24"/>
          <w:szCs w:val="24"/>
        </w:rPr>
        <w:t xml:space="preserve">A.S. OULD BOUBOUTT, « Le contentieux administratif comparé en France et dans les pays d’Afrique francophone », </w:t>
      </w:r>
      <w:r w:rsidRPr="00FB4D96">
        <w:rPr>
          <w:rFonts w:cs="Arial"/>
          <w:i/>
          <w:sz w:val="24"/>
          <w:szCs w:val="24"/>
        </w:rPr>
        <w:t>RDP</w:t>
      </w:r>
      <w:r w:rsidRPr="00FB4D96">
        <w:rPr>
          <w:rFonts w:cs="Arial"/>
          <w:sz w:val="24"/>
          <w:szCs w:val="24"/>
        </w:rPr>
        <w:t>, n° 2, 2013, p. 379 et s.</w:t>
      </w:r>
    </w:p>
    <w:p w:rsidR="00991823" w:rsidRPr="00FB4D96" w:rsidRDefault="00991823" w:rsidP="00B7179F">
      <w:pPr>
        <w:pStyle w:val="Sansinterligne"/>
        <w:jc w:val="both"/>
        <w:rPr>
          <w:rFonts w:cs="Arial"/>
          <w:sz w:val="24"/>
          <w:szCs w:val="24"/>
        </w:rPr>
      </w:pPr>
    </w:p>
    <w:p w:rsidR="00541D3C" w:rsidRPr="00FB4D96" w:rsidRDefault="009E11AE" w:rsidP="00B7179F">
      <w:pPr>
        <w:pStyle w:val="Sansinterligne"/>
        <w:numPr>
          <w:ilvl w:val="0"/>
          <w:numId w:val="3"/>
        </w:numPr>
        <w:jc w:val="both"/>
        <w:rPr>
          <w:rFonts w:cs="Arial"/>
          <w:sz w:val="24"/>
          <w:szCs w:val="24"/>
        </w:rPr>
      </w:pPr>
      <w:r w:rsidRPr="00FB4D96">
        <w:rPr>
          <w:rFonts w:cs="Times New Roman"/>
          <w:sz w:val="24"/>
          <w:szCs w:val="24"/>
        </w:rPr>
        <w:t xml:space="preserve"> D. SY, « le juge sénégalais  et la création du droit administratif », </w:t>
      </w:r>
      <w:r w:rsidRPr="00FB4D96">
        <w:rPr>
          <w:rFonts w:cs="Times New Roman"/>
          <w:i/>
          <w:sz w:val="24"/>
          <w:szCs w:val="24"/>
        </w:rPr>
        <w:t>in La création du droit en Afrique</w:t>
      </w:r>
      <w:r w:rsidRPr="00FB4D96">
        <w:rPr>
          <w:rFonts w:cs="Times New Roman"/>
          <w:sz w:val="24"/>
          <w:szCs w:val="24"/>
        </w:rPr>
        <w:t xml:space="preserve"> (sous la direction de D. DARBON et</w:t>
      </w:r>
      <w:r w:rsidR="0067609B" w:rsidRPr="00FB4D96">
        <w:rPr>
          <w:rFonts w:cs="Arial"/>
          <w:sz w:val="24"/>
          <w:szCs w:val="24"/>
        </w:rPr>
        <w:t xml:space="preserve"> </w:t>
      </w:r>
      <w:r w:rsidRPr="00FB4D96">
        <w:rPr>
          <w:rFonts w:cs="Times New Roman"/>
          <w:sz w:val="24"/>
          <w:szCs w:val="24"/>
        </w:rPr>
        <w:t xml:space="preserve"> J. du BOIS de GAUDUSSON)</w:t>
      </w:r>
      <w:r w:rsidR="00511261" w:rsidRPr="00FB4D96">
        <w:rPr>
          <w:rFonts w:cs="Times New Roman"/>
          <w:sz w:val="24"/>
          <w:szCs w:val="24"/>
        </w:rPr>
        <w:t>, Paris. Karthala, 1997, p. 395 et s ;</w:t>
      </w:r>
      <w:r w:rsidR="009D4DD0" w:rsidRPr="00FB4D96">
        <w:rPr>
          <w:rFonts w:cs="Times New Roman"/>
          <w:sz w:val="24"/>
          <w:szCs w:val="24"/>
        </w:rPr>
        <w:t xml:space="preserve"> </w:t>
      </w:r>
      <w:r w:rsidR="001978D3" w:rsidRPr="00FB4D96">
        <w:rPr>
          <w:rFonts w:cs="Times New Roman"/>
          <w:sz w:val="24"/>
          <w:szCs w:val="24"/>
        </w:rPr>
        <w:t>« L’</w:t>
      </w:r>
      <w:r w:rsidR="009D4DD0" w:rsidRPr="00FB4D96">
        <w:rPr>
          <w:rFonts w:cs="Times New Roman"/>
          <w:sz w:val="24"/>
          <w:szCs w:val="24"/>
        </w:rPr>
        <w:t>évolution du droit administratif sénégalais</w:t>
      </w:r>
      <w:r w:rsidR="00997F2B" w:rsidRPr="00FB4D96">
        <w:rPr>
          <w:rFonts w:cs="Times New Roman"/>
          <w:sz w:val="24"/>
          <w:szCs w:val="24"/>
        </w:rPr>
        <w:t xml:space="preserve"> </w:t>
      </w:r>
      <w:r w:rsidR="001978D3" w:rsidRPr="00FB4D96">
        <w:rPr>
          <w:rFonts w:cs="Times New Roman"/>
          <w:sz w:val="24"/>
          <w:szCs w:val="24"/>
        </w:rPr>
        <w:t xml:space="preserve">», </w:t>
      </w:r>
      <w:r w:rsidR="001978D3" w:rsidRPr="00FB4D96">
        <w:rPr>
          <w:rFonts w:cs="Times New Roman"/>
          <w:i/>
          <w:sz w:val="24"/>
          <w:szCs w:val="24"/>
        </w:rPr>
        <w:t>EDJA</w:t>
      </w:r>
      <w:r w:rsidR="001978D3" w:rsidRPr="00FB4D96">
        <w:rPr>
          <w:rFonts w:cs="Times New Roman"/>
          <w:sz w:val="24"/>
          <w:szCs w:val="24"/>
        </w:rPr>
        <w:t>, n° 67, Octobre – Novembre – D</w:t>
      </w:r>
      <w:r w:rsidR="0067609B" w:rsidRPr="00FB4D96">
        <w:rPr>
          <w:rFonts w:cs="Times New Roman"/>
          <w:sz w:val="24"/>
          <w:szCs w:val="24"/>
        </w:rPr>
        <w:t xml:space="preserve">écembre 2005, p. 39 et </w:t>
      </w:r>
      <w:r w:rsidR="00AF3404" w:rsidRPr="00FB4D96">
        <w:rPr>
          <w:rFonts w:cs="Times New Roman"/>
          <w:sz w:val="24"/>
          <w:szCs w:val="24"/>
        </w:rPr>
        <w:t>s.</w:t>
      </w:r>
      <w:r w:rsidR="001978D3" w:rsidRPr="00FB4D96">
        <w:rPr>
          <w:rFonts w:cs="Times New Roman"/>
          <w:sz w:val="24"/>
          <w:szCs w:val="24"/>
        </w:rPr>
        <w:t xml:space="preserve">  </w:t>
      </w:r>
    </w:p>
    <w:p w:rsidR="00970143" w:rsidRPr="00A95E1D" w:rsidRDefault="00970143" w:rsidP="00B7179F">
      <w:pPr>
        <w:pStyle w:val="Paragraphedeliste"/>
        <w:jc w:val="both"/>
        <w:rPr>
          <w:rFonts w:cs="Arial"/>
          <w:color w:val="FF0000"/>
          <w:sz w:val="12"/>
          <w:szCs w:val="24"/>
        </w:rPr>
      </w:pPr>
    </w:p>
    <w:p w:rsidR="00970143" w:rsidRPr="00FB4D96" w:rsidRDefault="00970143" w:rsidP="00B7179F">
      <w:pPr>
        <w:pStyle w:val="Sansinterligne"/>
        <w:numPr>
          <w:ilvl w:val="0"/>
          <w:numId w:val="2"/>
        </w:numPr>
        <w:jc w:val="both"/>
        <w:rPr>
          <w:rFonts w:cs="Arial"/>
          <w:b/>
          <w:sz w:val="24"/>
          <w:szCs w:val="24"/>
        </w:rPr>
      </w:pPr>
      <w:r w:rsidRPr="00FB4D96">
        <w:rPr>
          <w:rFonts w:cs="Arial"/>
          <w:b/>
          <w:sz w:val="24"/>
          <w:szCs w:val="24"/>
          <w:u w:val="single"/>
        </w:rPr>
        <w:t>Jurisprudence </w:t>
      </w:r>
      <w:r w:rsidRPr="00FB4D96">
        <w:rPr>
          <w:rFonts w:cs="Arial"/>
          <w:b/>
          <w:sz w:val="24"/>
          <w:szCs w:val="24"/>
        </w:rPr>
        <w:t>:</w:t>
      </w:r>
    </w:p>
    <w:p w:rsidR="00406A40" w:rsidRPr="00A95E1D" w:rsidRDefault="00BC2AC8" w:rsidP="00B7179F">
      <w:pPr>
        <w:jc w:val="both"/>
        <w:rPr>
          <w:sz w:val="8"/>
          <w:szCs w:val="24"/>
        </w:rPr>
      </w:pPr>
      <w:r w:rsidRPr="00FB4D96">
        <w:rPr>
          <w:sz w:val="24"/>
          <w:szCs w:val="24"/>
        </w:rPr>
        <w:t xml:space="preserve"> </w:t>
      </w:r>
    </w:p>
    <w:p w:rsidR="0082466F" w:rsidRPr="00FB4D96" w:rsidRDefault="0082466F" w:rsidP="00B7179F">
      <w:pPr>
        <w:pStyle w:val="Paragraphedeliste"/>
        <w:numPr>
          <w:ilvl w:val="0"/>
          <w:numId w:val="3"/>
        </w:numPr>
        <w:tabs>
          <w:tab w:val="left" w:pos="5205"/>
        </w:tabs>
        <w:jc w:val="both"/>
        <w:rPr>
          <w:sz w:val="24"/>
          <w:szCs w:val="24"/>
        </w:rPr>
      </w:pPr>
      <w:r w:rsidRPr="00FB4D96">
        <w:rPr>
          <w:sz w:val="24"/>
          <w:szCs w:val="24"/>
        </w:rPr>
        <w:t>TD, 1</w:t>
      </w:r>
      <w:r w:rsidRPr="00FB4D96">
        <w:rPr>
          <w:sz w:val="24"/>
          <w:szCs w:val="24"/>
          <w:vertAlign w:val="superscript"/>
        </w:rPr>
        <w:t>er</w:t>
      </w:r>
      <w:r w:rsidRPr="00FB4D96">
        <w:rPr>
          <w:sz w:val="24"/>
          <w:szCs w:val="24"/>
        </w:rPr>
        <w:t xml:space="preserve"> mars 1969, Sékou BADIO, </w:t>
      </w:r>
      <w:r w:rsidRPr="00FB4D96">
        <w:rPr>
          <w:i/>
          <w:sz w:val="24"/>
          <w:szCs w:val="24"/>
        </w:rPr>
        <w:t>AA</w:t>
      </w:r>
      <w:r w:rsidRPr="00FB4D96">
        <w:rPr>
          <w:sz w:val="24"/>
          <w:szCs w:val="24"/>
        </w:rPr>
        <w:t xml:space="preserve"> 1973, p. 232.</w:t>
      </w:r>
    </w:p>
    <w:p w:rsidR="0082466F" w:rsidRPr="00FB4D96" w:rsidRDefault="0082466F" w:rsidP="00B7179F">
      <w:pPr>
        <w:pStyle w:val="Paragraphedeliste"/>
        <w:numPr>
          <w:ilvl w:val="0"/>
          <w:numId w:val="3"/>
        </w:numPr>
        <w:tabs>
          <w:tab w:val="left" w:pos="5205"/>
        </w:tabs>
        <w:jc w:val="both"/>
        <w:rPr>
          <w:sz w:val="24"/>
          <w:szCs w:val="24"/>
        </w:rPr>
      </w:pPr>
      <w:r w:rsidRPr="00FB4D96">
        <w:rPr>
          <w:sz w:val="24"/>
          <w:szCs w:val="24"/>
        </w:rPr>
        <w:t xml:space="preserve"> TD, 23 mai 1970, Abdourahmane NDOYE, </w:t>
      </w:r>
      <w:r w:rsidRPr="00FB4D96">
        <w:rPr>
          <w:i/>
          <w:sz w:val="24"/>
          <w:szCs w:val="24"/>
        </w:rPr>
        <w:t>AA</w:t>
      </w:r>
      <w:r w:rsidRPr="00FB4D96">
        <w:rPr>
          <w:sz w:val="24"/>
          <w:szCs w:val="24"/>
        </w:rPr>
        <w:t>, 1973, p. 243.</w:t>
      </w:r>
    </w:p>
    <w:p w:rsidR="00796D33" w:rsidRPr="00FB4D96" w:rsidRDefault="0082466F" w:rsidP="00B7179F">
      <w:pPr>
        <w:pStyle w:val="Paragraphedeliste"/>
        <w:numPr>
          <w:ilvl w:val="0"/>
          <w:numId w:val="3"/>
        </w:numPr>
        <w:tabs>
          <w:tab w:val="left" w:pos="5205"/>
        </w:tabs>
        <w:jc w:val="both"/>
        <w:rPr>
          <w:sz w:val="24"/>
          <w:szCs w:val="24"/>
        </w:rPr>
      </w:pPr>
      <w:r w:rsidRPr="00FB4D96">
        <w:rPr>
          <w:sz w:val="24"/>
          <w:szCs w:val="24"/>
        </w:rPr>
        <w:t>TD, 28</w:t>
      </w:r>
      <w:r w:rsidR="00142154" w:rsidRPr="00FB4D96">
        <w:rPr>
          <w:sz w:val="24"/>
          <w:szCs w:val="24"/>
        </w:rPr>
        <w:t xml:space="preserve"> novembre</w:t>
      </w:r>
      <w:r w:rsidR="00796D33" w:rsidRPr="00FB4D96">
        <w:rPr>
          <w:sz w:val="24"/>
          <w:szCs w:val="24"/>
        </w:rPr>
        <w:t xml:space="preserve"> 1970, Babacar GUEYE, </w:t>
      </w:r>
      <w:r w:rsidR="00796D33" w:rsidRPr="00FB4D96">
        <w:rPr>
          <w:i/>
          <w:sz w:val="24"/>
          <w:szCs w:val="24"/>
        </w:rPr>
        <w:t>AA</w:t>
      </w:r>
      <w:r w:rsidR="00796D33" w:rsidRPr="00FB4D96">
        <w:rPr>
          <w:sz w:val="24"/>
          <w:szCs w:val="24"/>
        </w:rPr>
        <w:t xml:space="preserve"> 1973, p</w:t>
      </w:r>
      <w:r w:rsidR="00142154" w:rsidRPr="00FB4D96">
        <w:rPr>
          <w:sz w:val="24"/>
          <w:szCs w:val="24"/>
        </w:rPr>
        <w:t>.</w:t>
      </w:r>
      <w:r w:rsidR="00796D33" w:rsidRPr="00FB4D96">
        <w:rPr>
          <w:sz w:val="24"/>
          <w:szCs w:val="24"/>
        </w:rPr>
        <w:t xml:space="preserve"> 243.</w:t>
      </w:r>
    </w:p>
    <w:p w:rsidR="00796D33" w:rsidRPr="00FB4D96" w:rsidRDefault="00796D33" w:rsidP="00B7179F">
      <w:pPr>
        <w:pStyle w:val="Paragraphedeliste"/>
        <w:numPr>
          <w:ilvl w:val="0"/>
          <w:numId w:val="3"/>
        </w:numPr>
        <w:tabs>
          <w:tab w:val="left" w:pos="5205"/>
        </w:tabs>
        <w:jc w:val="both"/>
        <w:rPr>
          <w:sz w:val="24"/>
          <w:szCs w:val="24"/>
        </w:rPr>
      </w:pPr>
      <w:r w:rsidRPr="00FB4D96">
        <w:rPr>
          <w:sz w:val="24"/>
          <w:szCs w:val="24"/>
        </w:rPr>
        <w:t xml:space="preserve"> CA, 18 février 1983, Héritiers Abdou LO, </w:t>
      </w:r>
      <w:r w:rsidRPr="00FB4D96">
        <w:rPr>
          <w:i/>
          <w:sz w:val="24"/>
          <w:szCs w:val="24"/>
        </w:rPr>
        <w:t>EDJA</w:t>
      </w:r>
      <w:r w:rsidRPr="00FB4D96">
        <w:rPr>
          <w:sz w:val="24"/>
          <w:szCs w:val="24"/>
        </w:rPr>
        <w:t>, n° 3 et 4, juillet-août 1987, p. 12.</w:t>
      </w:r>
    </w:p>
    <w:p w:rsidR="00796D33" w:rsidRPr="00FB4D96" w:rsidRDefault="00796D33" w:rsidP="00B7179F">
      <w:pPr>
        <w:pStyle w:val="Paragraphedeliste"/>
        <w:numPr>
          <w:ilvl w:val="0"/>
          <w:numId w:val="3"/>
        </w:numPr>
        <w:tabs>
          <w:tab w:val="left" w:pos="5205"/>
        </w:tabs>
        <w:jc w:val="both"/>
        <w:rPr>
          <w:sz w:val="24"/>
          <w:szCs w:val="24"/>
        </w:rPr>
      </w:pPr>
      <w:r w:rsidRPr="00FB4D96">
        <w:rPr>
          <w:sz w:val="24"/>
          <w:szCs w:val="24"/>
        </w:rPr>
        <w:t>CS, 1</w:t>
      </w:r>
      <w:r w:rsidRPr="00FB4D96">
        <w:rPr>
          <w:sz w:val="24"/>
          <w:szCs w:val="24"/>
          <w:vertAlign w:val="superscript"/>
        </w:rPr>
        <w:t>ère</w:t>
      </w:r>
      <w:r w:rsidRPr="00FB4D96">
        <w:rPr>
          <w:sz w:val="24"/>
          <w:szCs w:val="24"/>
        </w:rPr>
        <w:t xml:space="preserve"> Section, 18 mars 1980, Demba Baydi GAYE, </w:t>
      </w:r>
      <w:r w:rsidRPr="00FB4D96">
        <w:rPr>
          <w:i/>
          <w:sz w:val="24"/>
          <w:szCs w:val="24"/>
        </w:rPr>
        <w:t>RIPAS</w:t>
      </w:r>
      <w:r w:rsidRPr="00FB4D96">
        <w:rPr>
          <w:sz w:val="24"/>
          <w:szCs w:val="24"/>
        </w:rPr>
        <w:t>, n° 9, p. 37.</w:t>
      </w:r>
    </w:p>
    <w:p w:rsidR="003026DE" w:rsidRPr="00FB4D96" w:rsidRDefault="00796D33" w:rsidP="00B7179F">
      <w:pPr>
        <w:pStyle w:val="Paragraphedeliste"/>
        <w:numPr>
          <w:ilvl w:val="0"/>
          <w:numId w:val="3"/>
        </w:numPr>
        <w:tabs>
          <w:tab w:val="left" w:pos="5205"/>
        </w:tabs>
        <w:jc w:val="both"/>
        <w:rPr>
          <w:sz w:val="24"/>
          <w:szCs w:val="24"/>
        </w:rPr>
      </w:pPr>
      <w:r w:rsidRPr="00FB4D96">
        <w:rPr>
          <w:sz w:val="24"/>
          <w:szCs w:val="24"/>
        </w:rPr>
        <w:t xml:space="preserve"> CA, 14 juillet 1978</w:t>
      </w:r>
      <w:r w:rsidR="003026DE" w:rsidRPr="00FB4D96">
        <w:rPr>
          <w:sz w:val="24"/>
          <w:szCs w:val="24"/>
        </w:rPr>
        <w:t xml:space="preserve">, Mark c / Municipalité de Nioro du Rip, </w:t>
      </w:r>
      <w:r w:rsidR="003026DE" w:rsidRPr="00FB4D96">
        <w:rPr>
          <w:i/>
          <w:sz w:val="24"/>
          <w:szCs w:val="24"/>
        </w:rPr>
        <w:t>in</w:t>
      </w:r>
      <w:r w:rsidR="003026DE" w:rsidRPr="00FB4D96">
        <w:rPr>
          <w:sz w:val="24"/>
          <w:szCs w:val="24"/>
        </w:rPr>
        <w:t xml:space="preserve"> </w:t>
      </w:r>
      <w:r w:rsidR="003026DE" w:rsidRPr="00FB4D96">
        <w:rPr>
          <w:i/>
          <w:sz w:val="24"/>
          <w:szCs w:val="24"/>
        </w:rPr>
        <w:t>Le Code des</w:t>
      </w:r>
      <w:r w:rsidR="003026DE" w:rsidRPr="00FB4D96">
        <w:rPr>
          <w:sz w:val="24"/>
          <w:szCs w:val="24"/>
        </w:rPr>
        <w:t xml:space="preserve"> </w:t>
      </w:r>
      <w:r w:rsidR="003026DE" w:rsidRPr="00FB4D96">
        <w:rPr>
          <w:i/>
          <w:sz w:val="24"/>
          <w:szCs w:val="24"/>
        </w:rPr>
        <w:t>Obligations de l’Administration annoté</w:t>
      </w:r>
      <w:r w:rsidR="003026DE" w:rsidRPr="00FB4D96">
        <w:rPr>
          <w:sz w:val="24"/>
          <w:szCs w:val="24"/>
        </w:rPr>
        <w:t>, publication EDJA, p. 103.</w:t>
      </w:r>
    </w:p>
    <w:p w:rsidR="003026DE" w:rsidRPr="00FB4D96" w:rsidRDefault="003026DE" w:rsidP="00B7179F">
      <w:pPr>
        <w:pStyle w:val="Paragraphedeliste"/>
        <w:numPr>
          <w:ilvl w:val="0"/>
          <w:numId w:val="3"/>
        </w:numPr>
        <w:tabs>
          <w:tab w:val="left" w:pos="5205"/>
        </w:tabs>
        <w:jc w:val="both"/>
        <w:rPr>
          <w:sz w:val="24"/>
          <w:szCs w:val="24"/>
        </w:rPr>
      </w:pPr>
      <w:r w:rsidRPr="00FB4D96">
        <w:rPr>
          <w:sz w:val="24"/>
          <w:szCs w:val="24"/>
        </w:rPr>
        <w:t xml:space="preserve"> TR de Dakar, 17 </w:t>
      </w:r>
      <w:r w:rsidR="00BD33A0" w:rsidRPr="00FB4D96">
        <w:rPr>
          <w:sz w:val="24"/>
          <w:szCs w:val="24"/>
        </w:rPr>
        <w:t>octobre 1986, Dieynaba DIALLO (non publié</w:t>
      </w:r>
      <w:r w:rsidRPr="00FB4D96">
        <w:rPr>
          <w:sz w:val="24"/>
          <w:szCs w:val="24"/>
        </w:rPr>
        <w:t>).</w:t>
      </w:r>
    </w:p>
    <w:p w:rsidR="000C478B" w:rsidRPr="00FB4D96" w:rsidRDefault="003026DE" w:rsidP="00B7179F">
      <w:pPr>
        <w:pStyle w:val="Paragraphedeliste"/>
        <w:numPr>
          <w:ilvl w:val="0"/>
          <w:numId w:val="3"/>
        </w:numPr>
        <w:tabs>
          <w:tab w:val="left" w:pos="5205"/>
        </w:tabs>
        <w:jc w:val="both"/>
        <w:rPr>
          <w:sz w:val="24"/>
          <w:szCs w:val="24"/>
        </w:rPr>
      </w:pPr>
      <w:r w:rsidRPr="00FB4D96">
        <w:rPr>
          <w:sz w:val="24"/>
          <w:szCs w:val="24"/>
        </w:rPr>
        <w:t>CA de Dakar, 29 avril 1993, Société des Transports Déména</w:t>
      </w:r>
      <w:r w:rsidR="00580EC6" w:rsidRPr="00FB4D96">
        <w:rPr>
          <w:sz w:val="24"/>
          <w:szCs w:val="24"/>
        </w:rPr>
        <w:t>g</w:t>
      </w:r>
      <w:r w:rsidR="00BD33A0" w:rsidRPr="00FB4D96">
        <w:rPr>
          <w:sz w:val="24"/>
          <w:szCs w:val="24"/>
        </w:rPr>
        <w:t>ements Internationaux dite TDI (</w:t>
      </w:r>
      <w:r w:rsidR="00580EC6" w:rsidRPr="00FB4D96">
        <w:rPr>
          <w:sz w:val="24"/>
          <w:szCs w:val="24"/>
        </w:rPr>
        <w:t>non pub</w:t>
      </w:r>
      <w:r w:rsidR="006A3632" w:rsidRPr="00FB4D96">
        <w:rPr>
          <w:sz w:val="24"/>
          <w:szCs w:val="24"/>
        </w:rPr>
        <w:t>l</w:t>
      </w:r>
      <w:r w:rsidR="00BD33A0" w:rsidRPr="00FB4D96">
        <w:rPr>
          <w:sz w:val="24"/>
          <w:szCs w:val="24"/>
        </w:rPr>
        <w:t>ié</w:t>
      </w:r>
      <w:r w:rsidR="00580EC6" w:rsidRPr="00FB4D96">
        <w:rPr>
          <w:sz w:val="24"/>
          <w:szCs w:val="24"/>
        </w:rPr>
        <w:t>).</w:t>
      </w:r>
    </w:p>
    <w:p w:rsidR="00A95E1D" w:rsidRDefault="00A95E1D" w:rsidP="00A95E1D">
      <w:pPr>
        <w:pStyle w:val="Paragraphedeliste"/>
        <w:tabs>
          <w:tab w:val="left" w:pos="5205"/>
        </w:tabs>
        <w:ind w:left="1080"/>
        <w:jc w:val="both"/>
        <w:rPr>
          <w:b/>
          <w:sz w:val="24"/>
          <w:szCs w:val="24"/>
        </w:rPr>
      </w:pPr>
    </w:p>
    <w:p w:rsidR="00324F04" w:rsidRPr="00FB4D96" w:rsidRDefault="00324F04" w:rsidP="00B7179F">
      <w:pPr>
        <w:pStyle w:val="Paragraphedeliste"/>
        <w:numPr>
          <w:ilvl w:val="0"/>
          <w:numId w:val="5"/>
        </w:numPr>
        <w:tabs>
          <w:tab w:val="left" w:pos="5205"/>
        </w:tabs>
        <w:jc w:val="both"/>
        <w:rPr>
          <w:b/>
          <w:sz w:val="24"/>
          <w:szCs w:val="24"/>
        </w:rPr>
      </w:pPr>
      <w:r w:rsidRPr="00FB4D96">
        <w:rPr>
          <w:b/>
          <w:sz w:val="24"/>
          <w:szCs w:val="24"/>
        </w:rPr>
        <w:t>DOCUMENTS</w:t>
      </w:r>
      <w:r w:rsidR="00BD33A0" w:rsidRPr="00FB4D96">
        <w:rPr>
          <w:b/>
          <w:sz w:val="24"/>
          <w:szCs w:val="24"/>
        </w:rPr>
        <w:t xml:space="preserve"> REMIS</w:t>
      </w:r>
    </w:p>
    <w:p w:rsidR="006E597E" w:rsidRPr="00FB4D96" w:rsidRDefault="006E597E" w:rsidP="00B7179F">
      <w:pPr>
        <w:pStyle w:val="Paragraphedeliste"/>
        <w:tabs>
          <w:tab w:val="left" w:pos="5205"/>
        </w:tabs>
        <w:ind w:left="1080"/>
        <w:jc w:val="both"/>
        <w:rPr>
          <w:b/>
          <w:sz w:val="24"/>
          <w:szCs w:val="24"/>
        </w:rPr>
      </w:pPr>
    </w:p>
    <w:p w:rsidR="00324F04" w:rsidRDefault="00324F04" w:rsidP="00B7179F">
      <w:pPr>
        <w:pStyle w:val="Paragraphedeliste"/>
        <w:numPr>
          <w:ilvl w:val="0"/>
          <w:numId w:val="3"/>
        </w:numPr>
        <w:tabs>
          <w:tab w:val="left" w:pos="5205"/>
        </w:tabs>
        <w:jc w:val="both"/>
        <w:rPr>
          <w:sz w:val="24"/>
          <w:szCs w:val="24"/>
        </w:rPr>
      </w:pPr>
      <w:r w:rsidRPr="00FB4D96">
        <w:rPr>
          <w:sz w:val="24"/>
          <w:szCs w:val="24"/>
        </w:rPr>
        <w:t>A. BOCKEL</w:t>
      </w:r>
      <w:r w:rsidR="00A53F59" w:rsidRPr="00FB4D96">
        <w:rPr>
          <w:sz w:val="24"/>
          <w:szCs w:val="24"/>
        </w:rPr>
        <w:t>,</w:t>
      </w:r>
      <w:r w:rsidR="00BD33A0" w:rsidRPr="00FB4D96">
        <w:rPr>
          <w:sz w:val="24"/>
          <w:szCs w:val="24"/>
        </w:rPr>
        <w:t xml:space="preserve"> « </w:t>
      </w:r>
      <w:r w:rsidR="00C44874" w:rsidRPr="00FB4D96">
        <w:rPr>
          <w:sz w:val="24"/>
          <w:szCs w:val="24"/>
        </w:rPr>
        <w:t>S</w:t>
      </w:r>
      <w:r w:rsidR="00BD33A0" w:rsidRPr="00FB4D96">
        <w:rPr>
          <w:sz w:val="24"/>
          <w:szCs w:val="24"/>
        </w:rPr>
        <w:t xml:space="preserve">ur la difficile gestation d’un droit administratif sénégalais. Brèves réflexions à partir de quelques décisions rendues en plein contentieux </w:t>
      </w:r>
      <w:r w:rsidR="00C80022" w:rsidRPr="00FB4D96">
        <w:rPr>
          <w:sz w:val="24"/>
          <w:szCs w:val="24"/>
        </w:rPr>
        <w:t xml:space="preserve">», </w:t>
      </w:r>
      <w:r w:rsidR="00C80022" w:rsidRPr="00FB4D96">
        <w:rPr>
          <w:i/>
          <w:sz w:val="24"/>
          <w:szCs w:val="24"/>
        </w:rPr>
        <w:t>AA</w:t>
      </w:r>
      <w:r w:rsidR="00BD33A0" w:rsidRPr="00FB4D96">
        <w:rPr>
          <w:sz w:val="24"/>
          <w:szCs w:val="24"/>
        </w:rPr>
        <w:t>, 1973, (extrait</w:t>
      </w:r>
      <w:r w:rsidR="00FA55E3" w:rsidRPr="00FB4D96">
        <w:rPr>
          <w:sz w:val="24"/>
          <w:szCs w:val="24"/>
        </w:rPr>
        <w:t>), p. 137</w:t>
      </w:r>
      <w:r w:rsidR="00C80022" w:rsidRPr="00FB4D96">
        <w:rPr>
          <w:sz w:val="24"/>
          <w:szCs w:val="24"/>
        </w:rPr>
        <w:t xml:space="preserve">. </w:t>
      </w:r>
    </w:p>
    <w:p w:rsidR="00FD5D87" w:rsidRDefault="00FD5D87" w:rsidP="00FD5D87">
      <w:pPr>
        <w:pStyle w:val="Paragraphedeliste"/>
        <w:tabs>
          <w:tab w:val="left" w:pos="5205"/>
        </w:tabs>
        <w:jc w:val="both"/>
        <w:rPr>
          <w:sz w:val="24"/>
          <w:szCs w:val="24"/>
        </w:rPr>
      </w:pPr>
    </w:p>
    <w:p w:rsidR="00FD5D87" w:rsidRDefault="00FD5D87" w:rsidP="00FD5D87">
      <w:pPr>
        <w:pStyle w:val="Paragraphedeliste"/>
        <w:numPr>
          <w:ilvl w:val="0"/>
          <w:numId w:val="3"/>
        </w:numPr>
        <w:tabs>
          <w:tab w:val="left" w:pos="5205"/>
        </w:tabs>
        <w:jc w:val="both"/>
        <w:rPr>
          <w:sz w:val="24"/>
          <w:szCs w:val="24"/>
        </w:rPr>
      </w:pPr>
      <w:r>
        <w:rPr>
          <w:sz w:val="24"/>
          <w:szCs w:val="24"/>
        </w:rPr>
        <w:t xml:space="preserve">D. GILTARD, « Le recours de pleine juridiction », </w:t>
      </w:r>
      <w:r w:rsidRPr="00FD5D87">
        <w:rPr>
          <w:i/>
          <w:sz w:val="24"/>
          <w:szCs w:val="24"/>
        </w:rPr>
        <w:t>Revue de droit administratif comparé de</w:t>
      </w:r>
      <w:r>
        <w:rPr>
          <w:sz w:val="24"/>
          <w:szCs w:val="24"/>
        </w:rPr>
        <w:t xml:space="preserve"> </w:t>
      </w:r>
      <w:r w:rsidRPr="00FD5D87">
        <w:rPr>
          <w:i/>
          <w:sz w:val="24"/>
          <w:szCs w:val="24"/>
        </w:rPr>
        <w:t>l’Université de Paris 2</w:t>
      </w:r>
      <w:r>
        <w:rPr>
          <w:sz w:val="24"/>
          <w:szCs w:val="24"/>
        </w:rPr>
        <w:t>, 17 septembre 2010, (extrait), pp. 523-531.</w:t>
      </w:r>
    </w:p>
    <w:p w:rsidR="000E2E77" w:rsidRPr="000E2E77" w:rsidRDefault="000E2E77" w:rsidP="000E2E77">
      <w:pPr>
        <w:pStyle w:val="Paragraphedeliste"/>
        <w:rPr>
          <w:sz w:val="24"/>
          <w:szCs w:val="24"/>
        </w:rPr>
      </w:pPr>
    </w:p>
    <w:p w:rsidR="000E2E77" w:rsidRDefault="000E2E77" w:rsidP="00FD5D87">
      <w:pPr>
        <w:pStyle w:val="Paragraphedeliste"/>
        <w:numPr>
          <w:ilvl w:val="0"/>
          <w:numId w:val="3"/>
        </w:numPr>
        <w:tabs>
          <w:tab w:val="left" w:pos="5205"/>
        </w:tabs>
        <w:jc w:val="both"/>
        <w:rPr>
          <w:sz w:val="24"/>
          <w:szCs w:val="24"/>
        </w:rPr>
      </w:pPr>
      <w:r>
        <w:rPr>
          <w:sz w:val="24"/>
          <w:szCs w:val="24"/>
        </w:rPr>
        <w:t xml:space="preserve">Article 729 du Code de procédure civile du Sénégal, </w:t>
      </w:r>
      <w:r w:rsidR="00402249">
        <w:rPr>
          <w:i/>
          <w:sz w:val="24"/>
          <w:szCs w:val="24"/>
        </w:rPr>
        <w:t>in https://</w:t>
      </w:r>
      <w:r w:rsidRPr="000E2E77">
        <w:rPr>
          <w:i/>
          <w:sz w:val="24"/>
          <w:szCs w:val="24"/>
        </w:rPr>
        <w:t>senegal.eregulations.org</w:t>
      </w:r>
    </w:p>
    <w:p w:rsidR="000E2E77" w:rsidRPr="000E2E77" w:rsidRDefault="000E2E77" w:rsidP="000E2E77">
      <w:pPr>
        <w:pStyle w:val="Paragraphedeliste"/>
        <w:rPr>
          <w:sz w:val="24"/>
          <w:szCs w:val="24"/>
        </w:rPr>
      </w:pPr>
    </w:p>
    <w:p w:rsidR="007C701A" w:rsidRPr="000E2E77" w:rsidRDefault="008A1389" w:rsidP="000E2E77">
      <w:pPr>
        <w:pStyle w:val="Paragraphedeliste"/>
        <w:numPr>
          <w:ilvl w:val="0"/>
          <w:numId w:val="3"/>
        </w:numPr>
        <w:tabs>
          <w:tab w:val="left" w:pos="5205"/>
        </w:tabs>
        <w:jc w:val="both"/>
        <w:rPr>
          <w:sz w:val="24"/>
          <w:szCs w:val="24"/>
        </w:rPr>
      </w:pPr>
      <w:r w:rsidRPr="000E2E77">
        <w:rPr>
          <w:sz w:val="24"/>
          <w:szCs w:val="24"/>
        </w:rPr>
        <w:t xml:space="preserve">CE (burkinabé), 25 janvier 2008, Commune de Ouagadougou (Nongr’Massom) c/ Sawadogo Jean, </w:t>
      </w:r>
      <w:r w:rsidRPr="000E2E77">
        <w:rPr>
          <w:i/>
          <w:sz w:val="24"/>
          <w:szCs w:val="24"/>
        </w:rPr>
        <w:t>Les Grandes Décisions de la Jurisprudence Burkinabè : Droit Administratif</w:t>
      </w:r>
      <w:r w:rsidRPr="000E2E77">
        <w:rPr>
          <w:sz w:val="24"/>
          <w:szCs w:val="24"/>
        </w:rPr>
        <w:t>, 2</w:t>
      </w:r>
      <w:r w:rsidRPr="000E2E77">
        <w:rPr>
          <w:sz w:val="24"/>
          <w:szCs w:val="24"/>
          <w:vertAlign w:val="superscript"/>
        </w:rPr>
        <w:t>e</w:t>
      </w:r>
      <w:r w:rsidRPr="000E2E77">
        <w:rPr>
          <w:sz w:val="24"/>
          <w:szCs w:val="24"/>
        </w:rPr>
        <w:t xml:space="preserve"> édition, n° 38.</w:t>
      </w:r>
    </w:p>
    <w:p w:rsidR="005E1643" w:rsidRPr="005E1643" w:rsidRDefault="005E1643" w:rsidP="005E1643">
      <w:pPr>
        <w:pStyle w:val="Paragraphedeliste"/>
        <w:rPr>
          <w:sz w:val="24"/>
          <w:szCs w:val="24"/>
        </w:rPr>
      </w:pPr>
    </w:p>
    <w:p w:rsidR="00FD5D87" w:rsidRPr="00A95E1D" w:rsidRDefault="00FD5D87" w:rsidP="00FD5D87">
      <w:pPr>
        <w:pStyle w:val="Titre1"/>
      </w:pPr>
    </w:p>
    <w:p w:rsidR="008A1389" w:rsidRPr="00FB4D96" w:rsidRDefault="00A53F59" w:rsidP="007C701A">
      <w:pPr>
        <w:tabs>
          <w:tab w:val="left" w:pos="5205"/>
        </w:tabs>
        <w:ind w:left="1843" w:hanging="1843"/>
        <w:jc w:val="both"/>
        <w:rPr>
          <w:sz w:val="24"/>
          <w:szCs w:val="24"/>
        </w:rPr>
      </w:pPr>
      <w:r w:rsidRPr="00FB4D96">
        <w:rPr>
          <w:b/>
          <w:sz w:val="24"/>
          <w:szCs w:val="24"/>
          <w:u w:val="single"/>
        </w:rPr>
        <w:t>Document n° 1 :</w:t>
      </w:r>
      <w:r w:rsidRPr="00FB4D96">
        <w:rPr>
          <w:sz w:val="24"/>
          <w:szCs w:val="24"/>
        </w:rPr>
        <w:t xml:space="preserve"> </w:t>
      </w:r>
      <w:r w:rsidR="00BD33A0" w:rsidRPr="007C701A">
        <w:rPr>
          <w:b/>
          <w:sz w:val="24"/>
          <w:szCs w:val="24"/>
        </w:rPr>
        <w:t xml:space="preserve">A. BOCKEL, « Sur la difficile gestation d’un droit administratif sénégalais. Brèves réflexions à partir de quelques décisions rendues en plein contentieux », </w:t>
      </w:r>
      <w:r w:rsidR="00BD33A0" w:rsidRPr="007C701A">
        <w:rPr>
          <w:b/>
          <w:i/>
          <w:sz w:val="24"/>
          <w:szCs w:val="24"/>
        </w:rPr>
        <w:t>AA</w:t>
      </w:r>
      <w:r w:rsidR="00BD33A0" w:rsidRPr="007C701A">
        <w:rPr>
          <w:b/>
          <w:sz w:val="24"/>
          <w:szCs w:val="24"/>
        </w:rPr>
        <w:t>, 1973, (extrait), p. 137.</w:t>
      </w:r>
      <w:r w:rsidR="00BD33A0" w:rsidRPr="00FB4D96">
        <w:rPr>
          <w:sz w:val="24"/>
          <w:szCs w:val="24"/>
        </w:rPr>
        <w:t xml:space="preserve"> </w:t>
      </w:r>
    </w:p>
    <w:p w:rsidR="00FE7DC1" w:rsidRDefault="00FE7DC1" w:rsidP="008A1389">
      <w:pPr>
        <w:tabs>
          <w:tab w:val="left" w:pos="5205"/>
        </w:tabs>
        <w:jc w:val="both"/>
        <w:rPr>
          <w:sz w:val="24"/>
          <w:szCs w:val="24"/>
        </w:rPr>
      </w:pPr>
      <w:r w:rsidRPr="00FB4D96">
        <w:rPr>
          <w:sz w:val="24"/>
          <w:szCs w:val="24"/>
        </w:rPr>
        <w:t xml:space="preserve">Désormais le justiciable, lorsqu’il désire porter au contentieux un </w:t>
      </w:r>
      <w:r w:rsidR="00856A89" w:rsidRPr="00FB4D96">
        <w:rPr>
          <w:sz w:val="24"/>
          <w:szCs w:val="24"/>
        </w:rPr>
        <w:t>différend</w:t>
      </w:r>
      <w:r w:rsidRPr="00FB4D96">
        <w:rPr>
          <w:sz w:val="24"/>
          <w:szCs w:val="24"/>
        </w:rPr>
        <w:t xml:space="preserve">  qui l’opp</w:t>
      </w:r>
      <w:r w:rsidR="00856A89" w:rsidRPr="00FB4D96">
        <w:rPr>
          <w:sz w:val="24"/>
          <w:szCs w:val="24"/>
        </w:rPr>
        <w:t>o</w:t>
      </w:r>
      <w:r w:rsidRPr="00FB4D96">
        <w:rPr>
          <w:sz w:val="24"/>
          <w:szCs w:val="24"/>
        </w:rPr>
        <w:t xml:space="preserve">se à une personne publique, n’a plus à se poser le délicat </w:t>
      </w:r>
      <w:r w:rsidR="00856A89" w:rsidRPr="00FB4D96">
        <w:rPr>
          <w:sz w:val="24"/>
          <w:szCs w:val="24"/>
        </w:rPr>
        <w:t>problème</w:t>
      </w:r>
      <w:r w:rsidRPr="00FB4D96">
        <w:rPr>
          <w:sz w:val="24"/>
          <w:szCs w:val="24"/>
        </w:rPr>
        <w:t xml:space="preserve"> du choix du</w:t>
      </w:r>
      <w:r w:rsidR="00B7179F" w:rsidRPr="00FB4D96">
        <w:rPr>
          <w:sz w:val="24"/>
          <w:szCs w:val="24"/>
        </w:rPr>
        <w:t xml:space="preserve"> juge qu’il importe de saisir (</w:t>
      </w:r>
      <w:r w:rsidRPr="00FB4D96">
        <w:rPr>
          <w:sz w:val="24"/>
          <w:szCs w:val="24"/>
        </w:rPr>
        <w:t xml:space="preserve">sauf bien </w:t>
      </w:r>
      <w:r w:rsidR="00856A89" w:rsidRPr="00FB4D96">
        <w:rPr>
          <w:sz w:val="24"/>
          <w:szCs w:val="24"/>
        </w:rPr>
        <w:t>évidemment</w:t>
      </w:r>
      <w:r w:rsidRPr="00FB4D96">
        <w:rPr>
          <w:sz w:val="24"/>
          <w:szCs w:val="24"/>
        </w:rPr>
        <w:t xml:space="preserve"> s’il entreprend un recours pour </w:t>
      </w:r>
      <w:r w:rsidR="00856A89" w:rsidRPr="00FB4D96">
        <w:rPr>
          <w:sz w:val="24"/>
          <w:szCs w:val="24"/>
        </w:rPr>
        <w:t>excès</w:t>
      </w:r>
      <w:r w:rsidRPr="00FB4D96">
        <w:rPr>
          <w:sz w:val="24"/>
          <w:szCs w:val="24"/>
        </w:rPr>
        <w:t xml:space="preserve"> de pouvoir). La simplification</w:t>
      </w:r>
      <w:r w:rsidR="00856A89" w:rsidRPr="00FB4D96">
        <w:rPr>
          <w:sz w:val="24"/>
          <w:szCs w:val="24"/>
        </w:rPr>
        <w:t xml:space="preserve"> </w:t>
      </w:r>
      <w:r w:rsidRPr="00FB4D96">
        <w:rPr>
          <w:sz w:val="24"/>
          <w:szCs w:val="24"/>
        </w:rPr>
        <w:t xml:space="preserve">par unification n’est pourtant pas totale ; quelques </w:t>
      </w:r>
      <w:r w:rsidR="00856A89" w:rsidRPr="00FB4D96">
        <w:rPr>
          <w:sz w:val="24"/>
          <w:szCs w:val="24"/>
        </w:rPr>
        <w:t>règles</w:t>
      </w:r>
      <w:r w:rsidRPr="00FB4D96">
        <w:rPr>
          <w:sz w:val="24"/>
          <w:szCs w:val="24"/>
        </w:rPr>
        <w:t xml:space="preserve"> </w:t>
      </w:r>
      <w:r w:rsidR="00856A89" w:rsidRPr="00FB4D96">
        <w:rPr>
          <w:sz w:val="24"/>
          <w:szCs w:val="24"/>
        </w:rPr>
        <w:t>particulières</w:t>
      </w:r>
      <w:r w:rsidRPr="00FB4D96">
        <w:rPr>
          <w:sz w:val="24"/>
          <w:szCs w:val="24"/>
        </w:rPr>
        <w:t xml:space="preserve"> en </w:t>
      </w:r>
      <w:r w:rsidR="00856A89" w:rsidRPr="00FB4D96">
        <w:rPr>
          <w:sz w:val="24"/>
          <w:szCs w:val="24"/>
        </w:rPr>
        <w:t>matière</w:t>
      </w:r>
      <w:r w:rsidRPr="00FB4D96">
        <w:rPr>
          <w:sz w:val="24"/>
          <w:szCs w:val="24"/>
        </w:rPr>
        <w:t xml:space="preserve"> de </w:t>
      </w:r>
      <w:r w:rsidR="00856A89" w:rsidRPr="00FB4D96">
        <w:rPr>
          <w:sz w:val="24"/>
          <w:szCs w:val="24"/>
        </w:rPr>
        <w:t>procédure ont été prévues par le C</w:t>
      </w:r>
      <w:r w:rsidRPr="00FB4D96">
        <w:rPr>
          <w:sz w:val="24"/>
          <w:szCs w:val="24"/>
        </w:rPr>
        <w:t xml:space="preserve">ode de </w:t>
      </w:r>
      <w:r w:rsidR="00856A89" w:rsidRPr="00FB4D96">
        <w:rPr>
          <w:sz w:val="24"/>
          <w:szCs w:val="24"/>
        </w:rPr>
        <w:t>procédure</w:t>
      </w:r>
      <w:r w:rsidRPr="00FB4D96">
        <w:rPr>
          <w:sz w:val="24"/>
          <w:szCs w:val="24"/>
        </w:rPr>
        <w:t xml:space="preserve"> civile, dans ses articles 729 à 733 : à l’instar de la </w:t>
      </w:r>
      <w:r w:rsidR="00856A89" w:rsidRPr="00FB4D96">
        <w:rPr>
          <w:sz w:val="24"/>
          <w:szCs w:val="24"/>
        </w:rPr>
        <w:t>procédure</w:t>
      </w:r>
      <w:r w:rsidRPr="00FB4D96">
        <w:rPr>
          <w:sz w:val="24"/>
          <w:szCs w:val="24"/>
        </w:rPr>
        <w:t xml:space="preserve"> administrative content</w:t>
      </w:r>
      <w:r w:rsidR="00D342F0" w:rsidRPr="00FB4D96">
        <w:rPr>
          <w:sz w:val="24"/>
          <w:szCs w:val="24"/>
        </w:rPr>
        <w:t>ieuse française ont été reprise</w:t>
      </w:r>
      <w:r w:rsidRPr="00FB4D96">
        <w:rPr>
          <w:sz w:val="24"/>
          <w:szCs w:val="24"/>
        </w:rPr>
        <w:t xml:space="preserve">s les </w:t>
      </w:r>
      <w:r w:rsidR="00D342F0" w:rsidRPr="00FB4D96">
        <w:rPr>
          <w:sz w:val="24"/>
          <w:szCs w:val="24"/>
        </w:rPr>
        <w:t>règles</w:t>
      </w:r>
      <w:r w:rsidRPr="00FB4D96">
        <w:rPr>
          <w:sz w:val="24"/>
          <w:szCs w:val="24"/>
        </w:rPr>
        <w:t xml:space="preserve"> de la </w:t>
      </w:r>
      <w:r w:rsidR="00D342F0" w:rsidRPr="00FB4D96">
        <w:rPr>
          <w:sz w:val="24"/>
          <w:szCs w:val="24"/>
        </w:rPr>
        <w:t>décision</w:t>
      </w:r>
      <w:r w:rsidRPr="00FB4D96">
        <w:rPr>
          <w:sz w:val="24"/>
          <w:szCs w:val="24"/>
        </w:rPr>
        <w:t xml:space="preserve"> </w:t>
      </w:r>
      <w:r w:rsidR="00D342F0" w:rsidRPr="00FB4D96">
        <w:rPr>
          <w:sz w:val="24"/>
          <w:szCs w:val="24"/>
        </w:rPr>
        <w:t>préalable</w:t>
      </w:r>
      <w:r w:rsidRPr="00FB4D96">
        <w:rPr>
          <w:sz w:val="24"/>
          <w:szCs w:val="24"/>
        </w:rPr>
        <w:t xml:space="preserve"> et des </w:t>
      </w:r>
      <w:r w:rsidR="00D342F0" w:rsidRPr="00FB4D96">
        <w:rPr>
          <w:sz w:val="24"/>
          <w:szCs w:val="24"/>
        </w:rPr>
        <w:t>délais</w:t>
      </w:r>
      <w:r w:rsidRPr="00FB4D96">
        <w:rPr>
          <w:sz w:val="24"/>
          <w:szCs w:val="24"/>
        </w:rPr>
        <w:t xml:space="preserve"> </w:t>
      </w:r>
      <w:proofErr w:type="gramStart"/>
      <w:r w:rsidRPr="00FB4D96">
        <w:rPr>
          <w:sz w:val="24"/>
          <w:szCs w:val="24"/>
        </w:rPr>
        <w:t>( de</w:t>
      </w:r>
      <w:proofErr w:type="gramEnd"/>
      <w:r w:rsidRPr="00FB4D96">
        <w:rPr>
          <w:sz w:val="24"/>
          <w:szCs w:val="24"/>
        </w:rPr>
        <w:t xml:space="preserve"> façon d’ailleurs plus stricte qu’en France), du </w:t>
      </w:r>
      <w:r w:rsidR="00D342F0" w:rsidRPr="00FB4D96">
        <w:rPr>
          <w:sz w:val="24"/>
          <w:szCs w:val="24"/>
        </w:rPr>
        <w:t>caractère</w:t>
      </w:r>
      <w:r w:rsidRPr="00FB4D96">
        <w:rPr>
          <w:sz w:val="24"/>
          <w:szCs w:val="24"/>
        </w:rPr>
        <w:t xml:space="preserve"> non suspensif de la </w:t>
      </w:r>
      <w:r w:rsidR="00D342F0" w:rsidRPr="00FB4D96">
        <w:rPr>
          <w:sz w:val="24"/>
          <w:szCs w:val="24"/>
        </w:rPr>
        <w:t>procédure</w:t>
      </w:r>
      <w:r w:rsidRPr="00FB4D96">
        <w:rPr>
          <w:sz w:val="24"/>
          <w:szCs w:val="24"/>
        </w:rPr>
        <w:t xml:space="preserve"> ( assortie du sursis à exécution). Et, indique l’intitulé du titre prem</w:t>
      </w:r>
      <w:r w:rsidR="00D342F0" w:rsidRPr="00FB4D96">
        <w:rPr>
          <w:sz w:val="24"/>
          <w:szCs w:val="24"/>
        </w:rPr>
        <w:t>ier, il s’agit là de la  « procé</w:t>
      </w:r>
      <w:r w:rsidRPr="00FB4D96">
        <w:rPr>
          <w:sz w:val="24"/>
          <w:szCs w:val="24"/>
        </w:rPr>
        <w:t>du</w:t>
      </w:r>
      <w:r w:rsidR="00D342F0" w:rsidRPr="00FB4D96">
        <w:rPr>
          <w:sz w:val="24"/>
          <w:szCs w:val="24"/>
        </w:rPr>
        <w:t>re en matière administrative », sans d’ailleurs que  soit autrement précisé le contenu de cette notion. Bien que l’hésitation soit permise,</w:t>
      </w:r>
      <w:r w:rsidRPr="00FB4D96">
        <w:rPr>
          <w:sz w:val="24"/>
          <w:szCs w:val="24"/>
        </w:rPr>
        <w:t xml:space="preserve"> il semble bien que l’on ait entendu par là reprendre l’acceptation française, ainsi que le </w:t>
      </w:r>
      <w:r w:rsidR="00D342F0" w:rsidRPr="00FB4D96">
        <w:rPr>
          <w:sz w:val="24"/>
          <w:szCs w:val="24"/>
        </w:rPr>
        <w:t xml:space="preserve">suggèrent </w:t>
      </w:r>
      <w:r w:rsidRPr="00FB4D96">
        <w:rPr>
          <w:sz w:val="24"/>
          <w:szCs w:val="24"/>
        </w:rPr>
        <w:t xml:space="preserve"> par e</w:t>
      </w:r>
      <w:r w:rsidR="00D342F0" w:rsidRPr="00FB4D96">
        <w:rPr>
          <w:sz w:val="24"/>
          <w:szCs w:val="24"/>
        </w:rPr>
        <w:t>x</w:t>
      </w:r>
      <w:r w:rsidRPr="00FB4D96">
        <w:rPr>
          <w:sz w:val="24"/>
          <w:szCs w:val="24"/>
        </w:rPr>
        <w:t xml:space="preserve">emple MM. Gautron et Rougevin-Baville, et par suite imposer les </w:t>
      </w:r>
      <w:r w:rsidR="00D342F0" w:rsidRPr="00FB4D96">
        <w:rPr>
          <w:sz w:val="24"/>
          <w:szCs w:val="24"/>
        </w:rPr>
        <w:t>règles</w:t>
      </w:r>
      <w:r w:rsidRPr="00FB4D96">
        <w:rPr>
          <w:sz w:val="24"/>
          <w:szCs w:val="24"/>
        </w:rPr>
        <w:t xml:space="preserve"> </w:t>
      </w:r>
      <w:r w:rsidR="00D342F0" w:rsidRPr="00FB4D96">
        <w:rPr>
          <w:sz w:val="24"/>
          <w:szCs w:val="24"/>
        </w:rPr>
        <w:t>particulières</w:t>
      </w:r>
      <w:r w:rsidRPr="00FB4D96">
        <w:rPr>
          <w:sz w:val="24"/>
          <w:szCs w:val="24"/>
        </w:rPr>
        <w:t xml:space="preserve"> de procédure aux seuls</w:t>
      </w:r>
      <w:r w:rsidR="00D342F0" w:rsidRPr="00FB4D96">
        <w:rPr>
          <w:sz w:val="24"/>
          <w:szCs w:val="24"/>
        </w:rPr>
        <w:t xml:space="preserve"> litiges mettant en cause une rè</w:t>
      </w:r>
      <w:r w:rsidRPr="00FB4D96">
        <w:rPr>
          <w:sz w:val="24"/>
          <w:szCs w:val="24"/>
        </w:rPr>
        <w:t>gle de droit administratif, c</w:t>
      </w:r>
      <w:r w:rsidR="00D342F0" w:rsidRPr="00FB4D96">
        <w:rPr>
          <w:sz w:val="24"/>
          <w:szCs w:val="24"/>
        </w:rPr>
        <w:t>’est-à-dire relevant de la matiè</w:t>
      </w:r>
      <w:r w:rsidRPr="00FB4D96">
        <w:rPr>
          <w:sz w:val="24"/>
          <w:szCs w:val="24"/>
        </w:rPr>
        <w:t>re administrative et constituant le contentieux administratif.</w:t>
      </w:r>
    </w:p>
    <w:p w:rsidR="00FD5D87" w:rsidRDefault="00FD5D87" w:rsidP="008A1389">
      <w:pPr>
        <w:tabs>
          <w:tab w:val="left" w:pos="5205"/>
        </w:tabs>
        <w:jc w:val="both"/>
        <w:rPr>
          <w:sz w:val="24"/>
          <w:szCs w:val="24"/>
        </w:rPr>
      </w:pPr>
    </w:p>
    <w:p w:rsidR="00FD5D87" w:rsidRDefault="00FD5D87" w:rsidP="00FD5D87">
      <w:pPr>
        <w:tabs>
          <w:tab w:val="left" w:pos="5205"/>
        </w:tabs>
        <w:jc w:val="both"/>
        <w:rPr>
          <w:sz w:val="24"/>
          <w:szCs w:val="24"/>
        </w:rPr>
      </w:pPr>
      <w:r w:rsidRPr="00FD5D87">
        <w:rPr>
          <w:b/>
          <w:sz w:val="24"/>
          <w:szCs w:val="24"/>
          <w:u w:val="single"/>
        </w:rPr>
        <w:t>Document n° 2</w:t>
      </w:r>
      <w:r w:rsidRPr="00FD5D87">
        <w:rPr>
          <w:sz w:val="24"/>
          <w:szCs w:val="24"/>
        </w:rPr>
        <w:t xml:space="preserve"> : D. GILTARD, « Le recours de pleine juridiction », </w:t>
      </w:r>
      <w:r w:rsidRPr="00FD5D87">
        <w:rPr>
          <w:i/>
          <w:sz w:val="24"/>
          <w:szCs w:val="24"/>
        </w:rPr>
        <w:t>Revue de droit administratif comparé de</w:t>
      </w:r>
      <w:r w:rsidRPr="00FD5D87">
        <w:rPr>
          <w:sz w:val="24"/>
          <w:szCs w:val="24"/>
        </w:rPr>
        <w:t xml:space="preserve"> </w:t>
      </w:r>
      <w:r w:rsidRPr="00FD5D87">
        <w:rPr>
          <w:i/>
          <w:sz w:val="24"/>
          <w:szCs w:val="24"/>
        </w:rPr>
        <w:t>l’Université de Paris 2</w:t>
      </w:r>
      <w:r w:rsidRPr="00FD5D87">
        <w:rPr>
          <w:sz w:val="24"/>
          <w:szCs w:val="24"/>
        </w:rPr>
        <w:t>, 17 septem</w:t>
      </w:r>
      <w:r w:rsidR="00416FC0">
        <w:rPr>
          <w:sz w:val="24"/>
          <w:szCs w:val="24"/>
        </w:rPr>
        <w:t>bre 2010, (extrait), pp. 523-531</w:t>
      </w:r>
      <w:r w:rsidRPr="00FD5D87">
        <w:rPr>
          <w:sz w:val="24"/>
          <w:szCs w:val="24"/>
        </w:rPr>
        <w:t>.</w:t>
      </w:r>
    </w:p>
    <w:p w:rsidR="00FD5D87" w:rsidRDefault="00FD5D87" w:rsidP="00FD5D87">
      <w:pPr>
        <w:tabs>
          <w:tab w:val="left" w:pos="5205"/>
        </w:tabs>
        <w:jc w:val="both"/>
        <w:rPr>
          <w:sz w:val="24"/>
          <w:szCs w:val="24"/>
        </w:rPr>
      </w:pPr>
    </w:p>
    <w:p w:rsidR="00FD5D87" w:rsidRDefault="00FD5D87" w:rsidP="00FD5D87">
      <w:pPr>
        <w:tabs>
          <w:tab w:val="left" w:pos="5205"/>
        </w:tabs>
        <w:jc w:val="both"/>
        <w:rPr>
          <w:sz w:val="24"/>
          <w:szCs w:val="24"/>
        </w:rPr>
      </w:pPr>
      <w:r>
        <w:rPr>
          <w:sz w:val="24"/>
          <w:szCs w:val="24"/>
        </w:rPr>
        <w:t>Le contentieux de pleine juridiction est présenté comme une catégorie de contentieux, mais c’est une catégorie hétérogène qui comprend de nombreuses matières</w:t>
      </w:r>
      <w:r w:rsidR="00C06820">
        <w:rPr>
          <w:sz w:val="24"/>
          <w:szCs w:val="24"/>
        </w:rPr>
        <w:t>, certaines relevant du contentieux de la légalité comme le contentieux fiscal, d’autres du contentieux des droits subjectifs comme le contentieux de la responsabilité, pour ne citer que deux des principales matières appartenant à cette catégorie… Voilà une différence juridique importante, liée à la différence d’objet entre le recours pour excès de pouvoir et le recours de plein contentieux, qui donne déjà de l’exercice des pouvoirs de pleine juridiction, par rapport aux pouvoirs du juge de l’excès de pouvoir, l’idée d’une certaine complexité. Cette impression se confirme lorsque l’on aborde la question pratique de la mise en œuvre par le juge de ses pouvoirs</w:t>
      </w:r>
      <w:r w:rsidR="00A00982">
        <w:rPr>
          <w:sz w:val="24"/>
          <w:szCs w:val="24"/>
        </w:rPr>
        <w:t xml:space="preserve"> de pleine juridiction. Cette apparente complexité n’est en réalité due qu’à la nature même de la pleine juridiction qui est d’abord de donner au juge la liberté de choisir les pouvoirs qui lui paraissent utiles pour régler le litige qui lui est soumis.</w:t>
      </w:r>
    </w:p>
    <w:p w:rsidR="00A00982" w:rsidRDefault="00A00982" w:rsidP="00FD5D87">
      <w:pPr>
        <w:tabs>
          <w:tab w:val="left" w:pos="5205"/>
        </w:tabs>
        <w:jc w:val="both"/>
        <w:rPr>
          <w:sz w:val="24"/>
          <w:szCs w:val="24"/>
        </w:rPr>
      </w:pPr>
      <w:r>
        <w:rPr>
          <w:sz w:val="24"/>
          <w:szCs w:val="24"/>
        </w:rPr>
        <w:t>Dans l’exercice de ses pouvoirs de pleine juridiction, le juge peut être guidé par la loi. Lorsque la loi lui confère des pouvoirs particuliers de pleine juridiction, comme le pouvoir d’injonction, le juge ne peut mettre en œuvre que ces pouvoirs. Comme il a déjà été dit, il peut enjoindre à l’administration soit de prendre une mesure d’exécution dans un sens déterminé, soit de réexaminer la demande et de prendre à nouveau une décision. Il ne peut pas par contre</w:t>
      </w:r>
      <w:r w:rsidR="00B02AB2">
        <w:rPr>
          <w:sz w:val="24"/>
          <w:szCs w:val="24"/>
        </w:rPr>
        <w:t xml:space="preserve"> substituer sa décision à celle de l’administration et, par exemple, délivrer lui-même l’autorisation qui a été refusée, comme il pourrait le faire s’il exerçait ses pouvoirs généraux de pleine juridiction. En l’absence de texte, le juge peut </w:t>
      </w:r>
      <w:r w:rsidR="00B02AB2">
        <w:rPr>
          <w:sz w:val="24"/>
          <w:szCs w:val="24"/>
        </w:rPr>
        <w:lastRenderedPageBreak/>
        <w:t>être amené à limiter lui-même la mise en œuvre des pouvoirs de pleine juridiction qu’il pourrait théoriquement exercer pour des raisons pratiques liées à la nature des tâches qui lui incomberaient.</w:t>
      </w:r>
    </w:p>
    <w:p w:rsidR="000E2E77" w:rsidRDefault="000E2E77" w:rsidP="00FD5D87">
      <w:pPr>
        <w:tabs>
          <w:tab w:val="left" w:pos="5205"/>
        </w:tabs>
        <w:jc w:val="both"/>
        <w:rPr>
          <w:sz w:val="24"/>
          <w:szCs w:val="24"/>
        </w:rPr>
      </w:pPr>
    </w:p>
    <w:p w:rsidR="000E2E77" w:rsidRDefault="000E2E77" w:rsidP="000E2E77">
      <w:pPr>
        <w:tabs>
          <w:tab w:val="left" w:pos="5205"/>
        </w:tabs>
        <w:jc w:val="both"/>
        <w:rPr>
          <w:i/>
          <w:sz w:val="24"/>
          <w:szCs w:val="24"/>
        </w:rPr>
      </w:pPr>
      <w:r w:rsidRPr="000E2E77">
        <w:rPr>
          <w:b/>
          <w:sz w:val="24"/>
          <w:szCs w:val="24"/>
          <w:u w:val="single"/>
        </w:rPr>
        <w:t>Document n° 3</w:t>
      </w:r>
      <w:r w:rsidRPr="000E2E77">
        <w:rPr>
          <w:sz w:val="24"/>
          <w:szCs w:val="24"/>
        </w:rPr>
        <w:t xml:space="preserve"> : Article 729 du Code de procédure civile du Sénégal, </w:t>
      </w:r>
      <w:r w:rsidRPr="000E2E77">
        <w:rPr>
          <w:i/>
          <w:sz w:val="24"/>
          <w:szCs w:val="24"/>
        </w:rPr>
        <w:t>in https//senegal.eregulations.org</w:t>
      </w:r>
    </w:p>
    <w:p w:rsidR="000E2E77" w:rsidRDefault="000E2E77" w:rsidP="000E2E77">
      <w:pPr>
        <w:tabs>
          <w:tab w:val="left" w:pos="5205"/>
        </w:tabs>
        <w:jc w:val="both"/>
        <w:rPr>
          <w:i/>
          <w:sz w:val="24"/>
          <w:szCs w:val="24"/>
        </w:rPr>
      </w:pPr>
    </w:p>
    <w:p w:rsidR="000E2E77" w:rsidRDefault="000E2E77" w:rsidP="000E2E77">
      <w:pPr>
        <w:tabs>
          <w:tab w:val="left" w:pos="5205"/>
        </w:tabs>
        <w:jc w:val="both"/>
        <w:rPr>
          <w:sz w:val="24"/>
          <w:szCs w:val="24"/>
        </w:rPr>
      </w:pPr>
      <w:r w:rsidRPr="000E2E77">
        <w:rPr>
          <w:sz w:val="24"/>
          <w:szCs w:val="24"/>
        </w:rPr>
        <w:t>Toute</w:t>
      </w:r>
      <w:r>
        <w:rPr>
          <w:sz w:val="24"/>
          <w:szCs w:val="24"/>
        </w:rPr>
        <w:t xml:space="preserve"> action en justice doit être précédée d’une demande adressée à l’autorité administrative désignée pour recevoir l’assignation aux termes de l’article 39. Le silence gardé plus de quatre mois par l’autorité saisie vaut décision de rejet.</w:t>
      </w:r>
    </w:p>
    <w:p w:rsidR="000E2E77" w:rsidRDefault="000E2E77" w:rsidP="000E2E77">
      <w:pPr>
        <w:tabs>
          <w:tab w:val="left" w:pos="5205"/>
        </w:tabs>
        <w:jc w:val="both"/>
        <w:rPr>
          <w:sz w:val="24"/>
          <w:szCs w:val="24"/>
        </w:rPr>
      </w:pPr>
      <w:r>
        <w:rPr>
          <w:sz w:val="24"/>
          <w:szCs w:val="24"/>
        </w:rPr>
        <w:t>L’assignation doit, à peine d’irrecevabilité,</w:t>
      </w:r>
      <w:r w:rsidR="00774CFE">
        <w:rPr>
          <w:sz w:val="24"/>
          <w:szCs w:val="24"/>
        </w:rPr>
        <w:t xml:space="preserve"> être servie dans le délai de deux mois qui suit, soit l’avis donné de la décision de l’administration, soit l’expiration du délai de quatre mois valant décision implicite de rejet.</w:t>
      </w:r>
    </w:p>
    <w:p w:rsidR="00774CFE" w:rsidRDefault="00774CFE" w:rsidP="000E2E77">
      <w:pPr>
        <w:tabs>
          <w:tab w:val="left" w:pos="5205"/>
        </w:tabs>
        <w:jc w:val="both"/>
        <w:rPr>
          <w:sz w:val="24"/>
          <w:szCs w:val="24"/>
        </w:rPr>
      </w:pPr>
      <w:r>
        <w:rPr>
          <w:sz w:val="24"/>
          <w:szCs w:val="24"/>
        </w:rPr>
        <w:t>Elle doit, à peine de nullité, viser la réponse implicite ou explicite donnée par l’administration = la demande préalable.</w:t>
      </w:r>
    </w:p>
    <w:p w:rsidR="00774CFE" w:rsidRPr="000E2E77" w:rsidRDefault="00774CFE" w:rsidP="000E2E77">
      <w:pPr>
        <w:tabs>
          <w:tab w:val="left" w:pos="5205"/>
        </w:tabs>
        <w:jc w:val="both"/>
        <w:rPr>
          <w:sz w:val="24"/>
          <w:szCs w:val="24"/>
        </w:rPr>
      </w:pPr>
      <w:r>
        <w:rPr>
          <w:sz w:val="24"/>
          <w:szCs w:val="24"/>
        </w:rPr>
        <w:t>Si c’est l’administration qui est demanderesse, l’assignation est délivrée à la requête du ministre compétent ou à celle des autorités visées à l’article 39.</w:t>
      </w:r>
    </w:p>
    <w:p w:rsidR="000E2E77" w:rsidRPr="000E2E77" w:rsidRDefault="000E2E77" w:rsidP="000E2E77">
      <w:pPr>
        <w:pStyle w:val="Paragraphedeliste"/>
        <w:rPr>
          <w:sz w:val="24"/>
          <w:szCs w:val="24"/>
        </w:rPr>
      </w:pPr>
    </w:p>
    <w:p w:rsidR="008A1389" w:rsidRDefault="00FD5D87" w:rsidP="00774CFE">
      <w:pPr>
        <w:tabs>
          <w:tab w:val="left" w:pos="5205"/>
        </w:tabs>
        <w:jc w:val="both"/>
        <w:rPr>
          <w:b/>
          <w:sz w:val="24"/>
          <w:szCs w:val="24"/>
        </w:rPr>
      </w:pPr>
      <w:r>
        <w:rPr>
          <w:b/>
          <w:sz w:val="24"/>
          <w:szCs w:val="24"/>
          <w:u w:val="single"/>
        </w:rPr>
        <w:t>Document n° 4</w:t>
      </w:r>
      <w:r w:rsidR="00A53F59" w:rsidRPr="007C701A">
        <w:rPr>
          <w:b/>
          <w:sz w:val="24"/>
          <w:szCs w:val="24"/>
          <w:u w:val="single"/>
        </w:rPr>
        <w:t> :</w:t>
      </w:r>
      <w:r w:rsidR="002146D2" w:rsidRPr="007C701A">
        <w:rPr>
          <w:b/>
          <w:sz w:val="24"/>
          <w:szCs w:val="24"/>
        </w:rPr>
        <w:t xml:space="preserve"> CE (burkinabé), 25 janvier 2008, Commune de Ouagadougou (Nongr’Massom) c/ Sawadogo Jean, </w:t>
      </w:r>
      <w:r w:rsidR="002146D2" w:rsidRPr="007C701A">
        <w:rPr>
          <w:b/>
          <w:i/>
          <w:sz w:val="24"/>
          <w:szCs w:val="24"/>
        </w:rPr>
        <w:t>Les Grandes Décisio</w:t>
      </w:r>
      <w:r w:rsidR="007F00CA" w:rsidRPr="007C701A">
        <w:rPr>
          <w:b/>
          <w:i/>
          <w:sz w:val="24"/>
          <w:szCs w:val="24"/>
        </w:rPr>
        <w:t>ns de la Jurisprudence Burkinabè</w:t>
      </w:r>
      <w:r w:rsidR="002146D2" w:rsidRPr="007C701A">
        <w:rPr>
          <w:b/>
          <w:i/>
          <w:sz w:val="24"/>
          <w:szCs w:val="24"/>
        </w:rPr>
        <w:t> : Droit Administratif</w:t>
      </w:r>
      <w:r w:rsidR="002146D2" w:rsidRPr="007C701A">
        <w:rPr>
          <w:b/>
          <w:sz w:val="24"/>
          <w:szCs w:val="24"/>
        </w:rPr>
        <w:t>, 2</w:t>
      </w:r>
      <w:r w:rsidR="002146D2" w:rsidRPr="007C701A">
        <w:rPr>
          <w:b/>
          <w:sz w:val="24"/>
          <w:szCs w:val="24"/>
          <w:vertAlign w:val="superscript"/>
        </w:rPr>
        <w:t>e</w:t>
      </w:r>
      <w:r w:rsidR="002146D2" w:rsidRPr="007C701A">
        <w:rPr>
          <w:b/>
          <w:sz w:val="24"/>
          <w:szCs w:val="24"/>
        </w:rPr>
        <w:t xml:space="preserve"> édition, n° 38.</w:t>
      </w:r>
    </w:p>
    <w:p w:rsidR="00774CFE" w:rsidRPr="007C701A" w:rsidRDefault="00774CFE" w:rsidP="00774CFE">
      <w:pPr>
        <w:tabs>
          <w:tab w:val="left" w:pos="5205"/>
        </w:tabs>
        <w:jc w:val="both"/>
        <w:rPr>
          <w:b/>
          <w:sz w:val="24"/>
          <w:szCs w:val="24"/>
        </w:rPr>
      </w:pPr>
    </w:p>
    <w:p w:rsidR="00D976EA" w:rsidRDefault="00D976EA" w:rsidP="002146D2">
      <w:pPr>
        <w:tabs>
          <w:tab w:val="left" w:pos="5205"/>
        </w:tabs>
        <w:jc w:val="both"/>
        <w:rPr>
          <w:b/>
          <w:sz w:val="24"/>
          <w:szCs w:val="24"/>
        </w:rPr>
      </w:pPr>
      <w:r w:rsidRPr="00FB4D96">
        <w:rPr>
          <w:b/>
          <w:sz w:val="24"/>
          <w:szCs w:val="24"/>
        </w:rPr>
        <w:t>LE CONSEIL</w:t>
      </w:r>
    </w:p>
    <w:p w:rsidR="00A97843" w:rsidRPr="00FB4D96" w:rsidRDefault="00A97843" w:rsidP="002146D2">
      <w:pPr>
        <w:tabs>
          <w:tab w:val="left" w:pos="5205"/>
        </w:tabs>
        <w:jc w:val="both"/>
        <w:rPr>
          <w:b/>
          <w:sz w:val="24"/>
          <w:szCs w:val="24"/>
        </w:rPr>
      </w:pPr>
    </w:p>
    <w:p w:rsidR="00D976EA" w:rsidRPr="00FB4D96" w:rsidRDefault="008A1389" w:rsidP="002146D2">
      <w:pPr>
        <w:tabs>
          <w:tab w:val="left" w:pos="5205"/>
        </w:tabs>
        <w:jc w:val="both"/>
        <w:rPr>
          <w:sz w:val="24"/>
          <w:szCs w:val="24"/>
        </w:rPr>
      </w:pPr>
      <w:r w:rsidRPr="00FB4D96">
        <w:rPr>
          <w:sz w:val="24"/>
          <w:szCs w:val="24"/>
        </w:rPr>
        <w:t xml:space="preserve">    </w:t>
      </w:r>
      <w:r w:rsidR="00D976EA" w:rsidRPr="00FB4D96">
        <w:rPr>
          <w:sz w:val="24"/>
          <w:szCs w:val="24"/>
        </w:rPr>
        <w:t>Vu la requête du 15 février 2006 de la commune de Ouagadougou (arrondissement de Nongr-Massom) contre le jugement n° 078-05 du 15 décembre 2005 ;</w:t>
      </w:r>
    </w:p>
    <w:p w:rsidR="00D976EA" w:rsidRDefault="008A1389" w:rsidP="002146D2">
      <w:pPr>
        <w:tabs>
          <w:tab w:val="left" w:pos="5205"/>
        </w:tabs>
        <w:jc w:val="both"/>
        <w:rPr>
          <w:sz w:val="24"/>
          <w:szCs w:val="24"/>
        </w:rPr>
      </w:pPr>
      <w:r w:rsidRPr="00FB4D96">
        <w:rPr>
          <w:sz w:val="24"/>
          <w:szCs w:val="24"/>
        </w:rPr>
        <w:t xml:space="preserve">    </w:t>
      </w:r>
      <w:r w:rsidR="00D976EA" w:rsidRPr="00FB4D96">
        <w:rPr>
          <w:sz w:val="24"/>
          <w:szCs w:val="24"/>
        </w:rPr>
        <w:t xml:space="preserve">Considérant que contre cette décision, la commune de Ouagadougou, représentée par le maire qui a élu domicile en l’étude de Me …, </w:t>
      </w:r>
      <w:r w:rsidR="00DC5D95" w:rsidRPr="00FB4D96">
        <w:rPr>
          <w:sz w:val="24"/>
          <w:szCs w:val="24"/>
        </w:rPr>
        <w:t>a relevé appel par requête du 15 février 2006 pour voir infirmer la décision suscitée ; qu’au soutien de sa requête, il fait valoir que :</w:t>
      </w:r>
    </w:p>
    <w:p w:rsidR="00A97843" w:rsidRPr="00FB4D96" w:rsidRDefault="00A97843" w:rsidP="002146D2">
      <w:pPr>
        <w:tabs>
          <w:tab w:val="left" w:pos="5205"/>
        </w:tabs>
        <w:jc w:val="both"/>
        <w:rPr>
          <w:sz w:val="24"/>
          <w:szCs w:val="24"/>
        </w:rPr>
      </w:pPr>
    </w:p>
    <w:p w:rsidR="00A97843" w:rsidRPr="00FB4D96" w:rsidRDefault="00811B82" w:rsidP="002146D2">
      <w:pPr>
        <w:tabs>
          <w:tab w:val="left" w:pos="5205"/>
        </w:tabs>
        <w:jc w:val="both"/>
        <w:rPr>
          <w:b/>
          <w:sz w:val="24"/>
          <w:szCs w:val="24"/>
        </w:rPr>
      </w:pPr>
      <w:r w:rsidRPr="00FB4D96">
        <w:rPr>
          <w:b/>
          <w:sz w:val="24"/>
          <w:szCs w:val="24"/>
        </w:rPr>
        <w:t>SUR QUOI :</w:t>
      </w:r>
    </w:p>
    <w:p w:rsidR="00A95E1D" w:rsidRDefault="008A1389" w:rsidP="002146D2">
      <w:pPr>
        <w:tabs>
          <w:tab w:val="left" w:pos="5205"/>
        </w:tabs>
        <w:jc w:val="both"/>
        <w:rPr>
          <w:sz w:val="24"/>
          <w:szCs w:val="24"/>
        </w:rPr>
      </w:pPr>
      <w:r w:rsidRPr="00FB4D96">
        <w:rPr>
          <w:sz w:val="24"/>
          <w:szCs w:val="24"/>
        </w:rPr>
        <w:t xml:space="preserve">    </w:t>
      </w:r>
      <w:r w:rsidR="00811B82" w:rsidRPr="00FB4D96">
        <w:rPr>
          <w:sz w:val="24"/>
          <w:szCs w:val="24"/>
        </w:rPr>
        <w:t xml:space="preserve">Considérant qu’il résulte des pièces du dossier que, par requête du 15 février 2006, Me …, pour le compte de Sawadogo Jean, a interjeté appel au greffe du Conseil d’Etat contre le jugement n° 78-05 </w:t>
      </w:r>
      <w:r w:rsidR="00811B82" w:rsidRPr="00FB4D96">
        <w:rPr>
          <w:sz w:val="24"/>
          <w:szCs w:val="24"/>
        </w:rPr>
        <w:lastRenderedPageBreak/>
        <w:t>du 15 décembre 2005, rendu contradictoirement par le Tribunal administratif de Ouagadougou</w:t>
      </w:r>
      <w:r w:rsidR="0097415F" w:rsidRPr="00FB4D96">
        <w:rPr>
          <w:sz w:val="24"/>
          <w:szCs w:val="24"/>
        </w:rPr>
        <w:t xml:space="preserve"> et qui a opposé son client à la commune de Ouagadougou (arrondissement de …) ;</w:t>
      </w:r>
    </w:p>
    <w:p w:rsidR="00A95E1D" w:rsidRPr="00A95E1D" w:rsidRDefault="00A95E1D" w:rsidP="002146D2">
      <w:pPr>
        <w:tabs>
          <w:tab w:val="left" w:pos="5205"/>
        </w:tabs>
        <w:jc w:val="both"/>
        <w:rPr>
          <w:sz w:val="4"/>
          <w:szCs w:val="24"/>
        </w:rPr>
      </w:pPr>
    </w:p>
    <w:p w:rsidR="001E71DA" w:rsidRPr="00FB4D96" w:rsidRDefault="001E71DA" w:rsidP="002146D2">
      <w:pPr>
        <w:tabs>
          <w:tab w:val="left" w:pos="5205"/>
        </w:tabs>
        <w:jc w:val="both"/>
        <w:rPr>
          <w:b/>
          <w:sz w:val="24"/>
          <w:szCs w:val="24"/>
        </w:rPr>
      </w:pPr>
      <w:r w:rsidRPr="00FB4D96">
        <w:rPr>
          <w:b/>
          <w:sz w:val="24"/>
          <w:szCs w:val="24"/>
        </w:rPr>
        <w:t>I – En la forme :</w:t>
      </w:r>
    </w:p>
    <w:p w:rsidR="001E71DA" w:rsidRPr="00FB4D96" w:rsidRDefault="008A1389" w:rsidP="002146D2">
      <w:pPr>
        <w:tabs>
          <w:tab w:val="left" w:pos="5205"/>
        </w:tabs>
        <w:jc w:val="both"/>
        <w:rPr>
          <w:sz w:val="24"/>
          <w:szCs w:val="24"/>
        </w:rPr>
      </w:pPr>
      <w:r w:rsidRPr="00FB4D96">
        <w:rPr>
          <w:sz w:val="24"/>
          <w:szCs w:val="24"/>
        </w:rPr>
        <w:t xml:space="preserve">    </w:t>
      </w:r>
      <w:r w:rsidR="001E71DA" w:rsidRPr="00FB4D96">
        <w:rPr>
          <w:sz w:val="24"/>
          <w:szCs w:val="24"/>
        </w:rPr>
        <w:t>Considérant qu’aux termes de l’article 26 de la loi n° 21-95 / ADP du 16 mai 1995 « les jugements contradictoires ou réputés tels du … » ; passé ce délai, l’appel est irrecevable ; qu’en l’espèce, la commune de Ouagadougou (arrondissement de …) ayant interjeté appel le (…), son appel mérite d’être déclaré recevable ;</w:t>
      </w:r>
    </w:p>
    <w:p w:rsidR="004A480C" w:rsidRPr="00A95E1D" w:rsidRDefault="004A480C" w:rsidP="002146D2">
      <w:pPr>
        <w:tabs>
          <w:tab w:val="left" w:pos="5205"/>
        </w:tabs>
        <w:jc w:val="both"/>
        <w:rPr>
          <w:b/>
          <w:sz w:val="6"/>
          <w:szCs w:val="24"/>
        </w:rPr>
      </w:pPr>
    </w:p>
    <w:p w:rsidR="001E71DA" w:rsidRPr="00FB4D96" w:rsidRDefault="001E71DA" w:rsidP="002146D2">
      <w:pPr>
        <w:tabs>
          <w:tab w:val="left" w:pos="5205"/>
        </w:tabs>
        <w:jc w:val="both"/>
        <w:rPr>
          <w:b/>
          <w:sz w:val="24"/>
          <w:szCs w:val="24"/>
        </w:rPr>
      </w:pPr>
      <w:r w:rsidRPr="00FB4D96">
        <w:rPr>
          <w:b/>
          <w:sz w:val="24"/>
          <w:szCs w:val="24"/>
        </w:rPr>
        <w:t>II – Au fond :</w:t>
      </w:r>
    </w:p>
    <w:p w:rsidR="00EA213B" w:rsidRDefault="008A1389" w:rsidP="002146D2">
      <w:pPr>
        <w:tabs>
          <w:tab w:val="left" w:pos="5205"/>
        </w:tabs>
        <w:jc w:val="both"/>
        <w:rPr>
          <w:sz w:val="24"/>
          <w:szCs w:val="24"/>
        </w:rPr>
      </w:pPr>
      <w:r w:rsidRPr="00FB4D96">
        <w:rPr>
          <w:sz w:val="24"/>
          <w:szCs w:val="24"/>
        </w:rPr>
        <w:t xml:space="preserve">    </w:t>
      </w:r>
      <w:r w:rsidR="00EA213B" w:rsidRPr="00FB4D96">
        <w:rPr>
          <w:sz w:val="24"/>
          <w:szCs w:val="24"/>
        </w:rPr>
        <w:t>Considérant</w:t>
      </w:r>
      <w:r w:rsidR="00D669E4" w:rsidRPr="00FB4D96">
        <w:rPr>
          <w:sz w:val="24"/>
          <w:szCs w:val="24"/>
        </w:rPr>
        <w:t xml:space="preserve"> que l’appelante reproche principalement au jugement attaqué de l’avoir conda</w:t>
      </w:r>
      <w:r w:rsidR="0083325A" w:rsidRPr="00FB4D96">
        <w:rPr>
          <w:sz w:val="24"/>
          <w:szCs w:val="24"/>
        </w:rPr>
        <w:t>mnée à payer la somme de … F. cfa</w:t>
      </w:r>
      <w:r w:rsidR="00D669E4" w:rsidRPr="00FB4D96">
        <w:rPr>
          <w:sz w:val="24"/>
          <w:szCs w:val="24"/>
        </w:rPr>
        <w:t xml:space="preserve"> à M. Sawadogo Jean en réparation de l’ensemble du préjudice que ce dernier aurait subi alors qu’il n’apporte pas la preuve d’une faute qu’elle aurait commise dans l’exécution des travaux d’aménagement qu’elle a entrepris ; qu’elle sollicite donc du Conseil d’Etat l’annulation du jugement attaqué pour défaut de recours préalable, d’une part, et pour défaut de preuve de sa responsabilité, d’autre part ;</w:t>
      </w:r>
    </w:p>
    <w:p w:rsidR="00A95E1D" w:rsidRPr="00FB4D96" w:rsidRDefault="00A95E1D" w:rsidP="002146D2">
      <w:pPr>
        <w:tabs>
          <w:tab w:val="left" w:pos="5205"/>
        </w:tabs>
        <w:jc w:val="both"/>
        <w:rPr>
          <w:sz w:val="24"/>
          <w:szCs w:val="24"/>
        </w:rPr>
      </w:pPr>
    </w:p>
    <w:p w:rsidR="002F6D45" w:rsidRPr="00FB4D96" w:rsidRDefault="0002502D" w:rsidP="002146D2">
      <w:pPr>
        <w:tabs>
          <w:tab w:val="left" w:pos="5205"/>
        </w:tabs>
        <w:jc w:val="both"/>
        <w:rPr>
          <w:b/>
          <w:sz w:val="24"/>
          <w:szCs w:val="24"/>
        </w:rPr>
      </w:pPr>
      <w:r w:rsidRPr="00FB4D96">
        <w:rPr>
          <w:b/>
          <w:sz w:val="24"/>
          <w:szCs w:val="24"/>
        </w:rPr>
        <w:t>-</w:t>
      </w:r>
      <w:r w:rsidR="00A95E1D">
        <w:rPr>
          <w:b/>
          <w:sz w:val="24"/>
          <w:szCs w:val="24"/>
        </w:rPr>
        <w:t xml:space="preserve">   </w:t>
      </w:r>
      <w:r w:rsidRPr="00FB4D96">
        <w:rPr>
          <w:b/>
          <w:sz w:val="24"/>
          <w:szCs w:val="24"/>
        </w:rPr>
        <w:t>s</w:t>
      </w:r>
      <w:r w:rsidR="002F6D45" w:rsidRPr="00FB4D96">
        <w:rPr>
          <w:b/>
          <w:sz w:val="24"/>
          <w:szCs w:val="24"/>
        </w:rPr>
        <w:t>ur le moyen tiré du défaut de recours administratif préalable :</w:t>
      </w:r>
    </w:p>
    <w:p w:rsidR="00D656F0" w:rsidRPr="00FB4D96" w:rsidRDefault="008A1389" w:rsidP="002146D2">
      <w:pPr>
        <w:tabs>
          <w:tab w:val="left" w:pos="5205"/>
        </w:tabs>
        <w:jc w:val="both"/>
        <w:rPr>
          <w:sz w:val="24"/>
          <w:szCs w:val="24"/>
        </w:rPr>
      </w:pPr>
      <w:r w:rsidRPr="00FB4D96">
        <w:rPr>
          <w:sz w:val="24"/>
          <w:szCs w:val="24"/>
        </w:rPr>
        <w:t xml:space="preserve">    </w:t>
      </w:r>
      <w:r w:rsidR="00D656F0" w:rsidRPr="00FB4D96">
        <w:rPr>
          <w:sz w:val="24"/>
          <w:szCs w:val="24"/>
        </w:rPr>
        <w:t>Considérant qu’il est de principe en matière de plein contentieux que le requérant doit, au préalable, soumettre sa prétention à l’appréciation de l’Administration avant de saisir la juridiction ; qu’ainsi, le cadre et l’objet du futur débat devant la juridiction sont d’ores et déjà fixés en conséquence par la décision administrative préalable ; que dans cette optique, Me…, conseil de la commune soutient que la requête de Sawadogo est irrecevable pour défaut de recours préalable pour le surplus ; qu’en effet celui-ci a saisit</w:t>
      </w:r>
      <w:r w:rsidR="0083325A" w:rsidRPr="00FB4D96">
        <w:rPr>
          <w:sz w:val="24"/>
          <w:szCs w:val="24"/>
        </w:rPr>
        <w:t xml:space="preserve"> initialement la commune d’une demande d’indemnisation d’un montant de … F. cfa et a, par la suite, saisi le Tribunal d’une réclamation qui s’élève à la somme de … F. cfa ;</w:t>
      </w:r>
    </w:p>
    <w:p w:rsidR="008F25B0" w:rsidRPr="00FB4D96" w:rsidRDefault="008A1389" w:rsidP="002146D2">
      <w:pPr>
        <w:tabs>
          <w:tab w:val="left" w:pos="5205"/>
        </w:tabs>
        <w:jc w:val="both"/>
        <w:rPr>
          <w:sz w:val="24"/>
          <w:szCs w:val="24"/>
        </w:rPr>
      </w:pPr>
      <w:r w:rsidRPr="00FB4D96">
        <w:rPr>
          <w:sz w:val="24"/>
          <w:szCs w:val="24"/>
        </w:rPr>
        <w:t xml:space="preserve">    </w:t>
      </w:r>
      <w:r w:rsidR="008F25B0" w:rsidRPr="00FB4D96">
        <w:rPr>
          <w:sz w:val="24"/>
          <w:szCs w:val="24"/>
        </w:rPr>
        <w:t>Mais considérant que la jurisprudence admet de manière constante qu’une demande qui n’est que le complément de la demande initiale présentée à l’Administration puisse être formée sans une nouvelle décision préalable ; qu’ainsi, une demande d’indemnité ne précisant pas le montant de la réparation demandée lie le contentieux car elle permet de tenir compte des aggravations possibles du préjudice subi en raison du temps et d’atténuer par conséquent les inconvénients d’une fixation prématurée de l’instance ;</w:t>
      </w:r>
    </w:p>
    <w:p w:rsidR="008F25B0" w:rsidRDefault="008A1389" w:rsidP="002146D2">
      <w:pPr>
        <w:tabs>
          <w:tab w:val="left" w:pos="5205"/>
        </w:tabs>
        <w:jc w:val="both"/>
        <w:rPr>
          <w:sz w:val="24"/>
          <w:szCs w:val="24"/>
        </w:rPr>
      </w:pPr>
      <w:r w:rsidRPr="00FB4D96">
        <w:rPr>
          <w:sz w:val="24"/>
          <w:szCs w:val="24"/>
        </w:rPr>
        <w:t xml:space="preserve">    </w:t>
      </w:r>
      <w:r w:rsidR="008F25B0" w:rsidRPr="00FB4D96">
        <w:rPr>
          <w:sz w:val="24"/>
          <w:szCs w:val="24"/>
        </w:rPr>
        <w:t>C</w:t>
      </w:r>
      <w:r w:rsidR="00327143" w:rsidRPr="00FB4D96">
        <w:rPr>
          <w:sz w:val="24"/>
          <w:szCs w:val="24"/>
        </w:rPr>
        <w:t xml:space="preserve">onsidérant qu’en l’espèce le requérant ne pouvait pas d’office préjuger de </w:t>
      </w:r>
      <w:r w:rsidR="00524B99" w:rsidRPr="00FB4D96">
        <w:rPr>
          <w:sz w:val="24"/>
          <w:szCs w:val="24"/>
        </w:rPr>
        <w:t>la décision de l’Administration et prévoir ainsi l’aggravation de son préjudice en fonction du temps et des dépenses imprévues exposées ; que l’aggravation du dommage et les frais de procès ayant été engendrés par le refus de l’Administration de réparer les dégâts occasionnés, il est aisé de constater que lesdites demandes constituent un développement et un complément de la demande initiale ; que dès lors, il convient de rejeter ce moyen comme étant inopérant ;</w:t>
      </w:r>
    </w:p>
    <w:p w:rsidR="0014162C" w:rsidRPr="00A95E1D" w:rsidRDefault="0002502D" w:rsidP="00A95E1D">
      <w:pPr>
        <w:pStyle w:val="Paragraphedeliste"/>
        <w:numPr>
          <w:ilvl w:val="0"/>
          <w:numId w:val="3"/>
        </w:numPr>
        <w:tabs>
          <w:tab w:val="left" w:pos="5205"/>
        </w:tabs>
        <w:jc w:val="both"/>
        <w:rPr>
          <w:b/>
          <w:sz w:val="24"/>
          <w:szCs w:val="24"/>
        </w:rPr>
      </w:pPr>
      <w:r w:rsidRPr="00A95E1D">
        <w:rPr>
          <w:b/>
          <w:sz w:val="24"/>
          <w:szCs w:val="24"/>
        </w:rPr>
        <w:lastRenderedPageBreak/>
        <w:t>s</w:t>
      </w:r>
      <w:r w:rsidR="0014162C" w:rsidRPr="00A95E1D">
        <w:rPr>
          <w:b/>
          <w:sz w:val="24"/>
          <w:szCs w:val="24"/>
        </w:rPr>
        <w:t>ur le moyen tiré du défaut de preuve de la responsabilité de la commune :</w:t>
      </w:r>
    </w:p>
    <w:p w:rsidR="00E43CA4" w:rsidRPr="00FB4D96" w:rsidRDefault="008A1389" w:rsidP="002146D2">
      <w:pPr>
        <w:tabs>
          <w:tab w:val="left" w:pos="5205"/>
        </w:tabs>
        <w:jc w:val="both"/>
        <w:rPr>
          <w:sz w:val="24"/>
          <w:szCs w:val="24"/>
        </w:rPr>
      </w:pPr>
      <w:r w:rsidRPr="00FB4D96">
        <w:rPr>
          <w:sz w:val="24"/>
          <w:szCs w:val="24"/>
        </w:rPr>
        <w:t xml:space="preserve">    </w:t>
      </w:r>
      <w:r w:rsidR="00E43CA4" w:rsidRPr="00FB4D96">
        <w:rPr>
          <w:sz w:val="24"/>
          <w:szCs w:val="24"/>
        </w:rPr>
        <w:t>Considérant qu’il est constant que, selon un principe général de droit, l’Administration est responsable de l’existence, de l’entretien et du fonctionnement des ouvrages publics dont elle répond des dommages, que ces ouvrages peuvent causer aux tiers ; qu’elle ne peut dégager sa responsabilité ou l’atténuer que si elle établit que ces dommages résultent d’un cas de force majeure ou de la faute de la victime ;</w:t>
      </w:r>
    </w:p>
    <w:p w:rsidR="00CE4897" w:rsidRPr="00FB4D96" w:rsidRDefault="008A1389" w:rsidP="002146D2">
      <w:pPr>
        <w:tabs>
          <w:tab w:val="left" w:pos="5205"/>
        </w:tabs>
        <w:jc w:val="both"/>
        <w:rPr>
          <w:sz w:val="24"/>
          <w:szCs w:val="24"/>
        </w:rPr>
      </w:pPr>
      <w:r w:rsidRPr="00FB4D96">
        <w:rPr>
          <w:sz w:val="24"/>
          <w:szCs w:val="24"/>
        </w:rPr>
        <w:t xml:space="preserve">    </w:t>
      </w:r>
      <w:r w:rsidR="009A520A" w:rsidRPr="00FB4D96">
        <w:rPr>
          <w:sz w:val="24"/>
          <w:szCs w:val="24"/>
        </w:rPr>
        <w:t>Considérant que des débats et des pièces du dossier, il résulte que la commune de Ouagadougou (arrondissement …) a entrepris des travaux d’aménagement au niveau du secteur 23 de la ville (…), suite auxquels le canal d’écoulement des eaux pluviales et usagées a été obstrué ; que cette obstruction a entraîné l’envahissement du domicile de Sawadogo Jean par les eaux de la pluie du 29 avril 2004 qui ont débordé, occasionnant ainsi des dégâts matériels ; qu’aucune faute n’est à relever à l’encontre de la victime ; que par ailleurs, la commune ne peut raisonnablement</w:t>
      </w:r>
      <w:r w:rsidR="00B15870" w:rsidRPr="00FB4D96">
        <w:rPr>
          <w:sz w:val="24"/>
          <w:szCs w:val="24"/>
        </w:rPr>
        <w:t xml:space="preserve"> invoquer la force majeure car une pluie au mois d’avril n’est pas un événement exceptionnel d’autant plus que le maire avait déjà été interpellé sur les risques d’inondations possibles du fait de l’obstruction du canal ; qu’en outre, la pluie du 29 avril 2004 n’a pas présenté un caractère de violence particulière pour être qualifiée d’imprévisible et d’irrésistible, constituant ainsi un cas de force majeure ;</w:t>
      </w:r>
    </w:p>
    <w:p w:rsidR="00857F31" w:rsidRPr="00FB4D96" w:rsidRDefault="00126AD1" w:rsidP="002146D2">
      <w:pPr>
        <w:tabs>
          <w:tab w:val="left" w:pos="5205"/>
        </w:tabs>
        <w:jc w:val="both"/>
        <w:rPr>
          <w:sz w:val="24"/>
          <w:szCs w:val="24"/>
        </w:rPr>
      </w:pPr>
      <w:r w:rsidRPr="00FB4D96">
        <w:rPr>
          <w:sz w:val="24"/>
          <w:szCs w:val="24"/>
        </w:rPr>
        <w:t xml:space="preserve">    </w:t>
      </w:r>
      <w:r w:rsidR="004B0315" w:rsidRPr="00FB4D96">
        <w:rPr>
          <w:sz w:val="24"/>
          <w:szCs w:val="24"/>
        </w:rPr>
        <w:t>Considérant que de fait il ressort des circonstances de l’espèce que la commune de Ouagadougou (arrondissement …)</w:t>
      </w:r>
      <w:r w:rsidR="00AF2772" w:rsidRPr="00FB4D96">
        <w:rPr>
          <w:sz w:val="24"/>
          <w:szCs w:val="24"/>
        </w:rPr>
        <w:t xml:space="preserve"> a été très négligente dans l’entretien de l’ouvrage public qui lui incombait et que l’obstruction du canal constitue un défaut d’entretien susceptible d’engager sa responsabilité ; que dès lors, elle n’est pas fondée à soutenir que c’est à tort que le Tribunal administratif de (…) l’a condamnée à réparer les conséquences dommageables des débordements des eaux pluviales ; que des faits de l’espèce, il apparaît clairement que le maire de l’Arrondissement de … a créé un risque aux riverains en laissant le canal d’écoulement des eaux de pluie et des eaux usagées obstrué après ses activités d’aménagement et doit</w:t>
      </w:r>
      <w:r w:rsidR="003F0512" w:rsidRPr="00FB4D96">
        <w:rPr>
          <w:sz w:val="24"/>
          <w:szCs w:val="24"/>
        </w:rPr>
        <w:t xml:space="preserve"> par conséquent répondre des dommages qui en ont résulté ;</w:t>
      </w:r>
    </w:p>
    <w:p w:rsidR="003F0512" w:rsidRPr="00FB4D96" w:rsidRDefault="003F0512" w:rsidP="003F0512">
      <w:pPr>
        <w:tabs>
          <w:tab w:val="left" w:pos="5205"/>
        </w:tabs>
        <w:jc w:val="both"/>
        <w:rPr>
          <w:b/>
          <w:sz w:val="24"/>
          <w:szCs w:val="24"/>
        </w:rPr>
      </w:pPr>
      <w:r w:rsidRPr="00FB4D96">
        <w:rPr>
          <w:b/>
          <w:sz w:val="24"/>
          <w:szCs w:val="24"/>
        </w:rPr>
        <w:t>-</w:t>
      </w:r>
      <w:r w:rsidR="003E4EA8" w:rsidRPr="00FB4D96">
        <w:rPr>
          <w:b/>
          <w:sz w:val="24"/>
          <w:szCs w:val="24"/>
        </w:rPr>
        <w:t>s</w:t>
      </w:r>
      <w:r w:rsidRPr="00FB4D96">
        <w:rPr>
          <w:b/>
          <w:sz w:val="24"/>
          <w:szCs w:val="24"/>
        </w:rPr>
        <w:t>ur les réparations et frais générés par le procès :</w:t>
      </w:r>
    </w:p>
    <w:p w:rsidR="003E4EA8" w:rsidRPr="00FB4D96" w:rsidRDefault="00126AD1" w:rsidP="003F0512">
      <w:pPr>
        <w:tabs>
          <w:tab w:val="left" w:pos="5205"/>
        </w:tabs>
        <w:jc w:val="both"/>
        <w:rPr>
          <w:sz w:val="24"/>
          <w:szCs w:val="24"/>
        </w:rPr>
      </w:pPr>
      <w:r w:rsidRPr="00FB4D96">
        <w:rPr>
          <w:sz w:val="24"/>
          <w:szCs w:val="24"/>
        </w:rPr>
        <w:t xml:space="preserve">    </w:t>
      </w:r>
      <w:r w:rsidR="003E4EA8" w:rsidRPr="00FB4D96">
        <w:rPr>
          <w:sz w:val="24"/>
          <w:szCs w:val="24"/>
        </w:rPr>
        <w:t>Considérant que Sawadogo Jean demande la somme de … F. cfa au titre des dégâts causés directement à ses biens, celle de … F. au titre du préjudice souffert depuis le refus du maire et celle de … F. cfa au titre des frais de procès ;</w:t>
      </w:r>
    </w:p>
    <w:p w:rsidR="003E4EA8" w:rsidRPr="00FB4D96" w:rsidRDefault="00126AD1" w:rsidP="003F0512">
      <w:pPr>
        <w:tabs>
          <w:tab w:val="left" w:pos="5205"/>
        </w:tabs>
        <w:jc w:val="both"/>
        <w:rPr>
          <w:sz w:val="24"/>
          <w:szCs w:val="24"/>
        </w:rPr>
      </w:pPr>
      <w:r w:rsidRPr="00FB4D96">
        <w:rPr>
          <w:sz w:val="24"/>
          <w:szCs w:val="24"/>
        </w:rPr>
        <w:t xml:space="preserve">    </w:t>
      </w:r>
      <w:r w:rsidR="003E4EA8" w:rsidRPr="00FB4D96">
        <w:rPr>
          <w:sz w:val="24"/>
          <w:szCs w:val="24"/>
        </w:rPr>
        <w:t>Considérant qu’il résulte des pièces du dossier</w:t>
      </w:r>
      <w:r w:rsidR="00733497" w:rsidRPr="00FB4D96">
        <w:rPr>
          <w:sz w:val="24"/>
          <w:szCs w:val="24"/>
        </w:rPr>
        <w:t xml:space="preserve"> que les dégâts matériels sont consignés dans le procès-verbal d’huissier de justice ; que face au refus de l’administration communale de l’indemniser diligemment, le requérant a été contraint de supporter lui-même, dans l’urgence, les frais des réparations inhérentes à l’inondation, ainsi qu’à ceux relatifs au procès qu’il a dû introduire et qui n’étaient nullement prévus ; qu’en réalité, le montant global de … F. cfa constitue la juste et équitable réparation des dommages à lui causés et c’est à bon droit que le premier juge a condamné la Mairie à les réparer ;</w:t>
      </w:r>
    </w:p>
    <w:p w:rsidR="00733497" w:rsidRPr="00FB4D96" w:rsidRDefault="00733497" w:rsidP="003F0512">
      <w:pPr>
        <w:tabs>
          <w:tab w:val="left" w:pos="5205"/>
        </w:tabs>
        <w:jc w:val="both"/>
        <w:rPr>
          <w:b/>
          <w:sz w:val="24"/>
          <w:szCs w:val="24"/>
        </w:rPr>
      </w:pPr>
      <w:r w:rsidRPr="00FB4D96">
        <w:rPr>
          <w:b/>
          <w:sz w:val="24"/>
          <w:szCs w:val="24"/>
        </w:rPr>
        <w:t>PAR CES MOTIFS :</w:t>
      </w:r>
    </w:p>
    <w:p w:rsidR="00733497" w:rsidRDefault="00126AD1" w:rsidP="003F0512">
      <w:pPr>
        <w:tabs>
          <w:tab w:val="left" w:pos="5205"/>
        </w:tabs>
        <w:jc w:val="both"/>
        <w:rPr>
          <w:sz w:val="24"/>
          <w:szCs w:val="24"/>
        </w:rPr>
      </w:pPr>
      <w:r w:rsidRPr="00FB4D96">
        <w:rPr>
          <w:sz w:val="24"/>
          <w:szCs w:val="24"/>
        </w:rPr>
        <w:t xml:space="preserve">    </w:t>
      </w:r>
      <w:r w:rsidR="00733497" w:rsidRPr="00FB4D96">
        <w:rPr>
          <w:sz w:val="24"/>
          <w:szCs w:val="24"/>
        </w:rPr>
        <w:t xml:space="preserve">Statuant publiquement, </w:t>
      </w:r>
      <w:r w:rsidR="00166F02" w:rsidRPr="00FB4D96">
        <w:rPr>
          <w:sz w:val="24"/>
          <w:szCs w:val="24"/>
        </w:rPr>
        <w:t>contradictoirement en matière administrative et en dernier ressort ;</w:t>
      </w:r>
    </w:p>
    <w:p w:rsidR="00A97843" w:rsidRPr="00FB4D96" w:rsidRDefault="00A97843" w:rsidP="003F0512">
      <w:pPr>
        <w:tabs>
          <w:tab w:val="left" w:pos="5205"/>
        </w:tabs>
        <w:jc w:val="both"/>
        <w:rPr>
          <w:sz w:val="24"/>
          <w:szCs w:val="24"/>
        </w:rPr>
      </w:pPr>
    </w:p>
    <w:p w:rsidR="00166F02" w:rsidRPr="00A95E1D" w:rsidRDefault="00166F02" w:rsidP="00A95E1D">
      <w:pPr>
        <w:pStyle w:val="Paragraphedeliste"/>
        <w:numPr>
          <w:ilvl w:val="0"/>
          <w:numId w:val="3"/>
        </w:numPr>
        <w:tabs>
          <w:tab w:val="left" w:pos="5205"/>
        </w:tabs>
        <w:jc w:val="both"/>
        <w:rPr>
          <w:b/>
          <w:sz w:val="24"/>
          <w:szCs w:val="24"/>
        </w:rPr>
      </w:pPr>
      <w:r w:rsidRPr="00A95E1D">
        <w:rPr>
          <w:b/>
          <w:sz w:val="24"/>
          <w:szCs w:val="24"/>
        </w:rPr>
        <w:lastRenderedPageBreak/>
        <w:t>en la forme :</w:t>
      </w:r>
    </w:p>
    <w:p w:rsidR="00166F02" w:rsidRPr="00FB4D96" w:rsidRDefault="00126AD1" w:rsidP="003F0512">
      <w:pPr>
        <w:tabs>
          <w:tab w:val="left" w:pos="5205"/>
        </w:tabs>
        <w:jc w:val="both"/>
        <w:rPr>
          <w:sz w:val="24"/>
          <w:szCs w:val="24"/>
        </w:rPr>
      </w:pPr>
      <w:r w:rsidRPr="00FB4D96">
        <w:rPr>
          <w:sz w:val="24"/>
          <w:szCs w:val="24"/>
        </w:rPr>
        <w:t xml:space="preserve">    </w:t>
      </w:r>
      <w:r w:rsidR="00166F02" w:rsidRPr="00FB4D96">
        <w:rPr>
          <w:sz w:val="24"/>
          <w:szCs w:val="24"/>
        </w:rPr>
        <w:t>Déclare l’appel de la commune de Ouagadougou (arrondissement …) recevable ;</w:t>
      </w:r>
    </w:p>
    <w:p w:rsidR="00166F02" w:rsidRPr="00A95E1D" w:rsidRDefault="00166F02" w:rsidP="00A95E1D">
      <w:pPr>
        <w:pStyle w:val="Paragraphedeliste"/>
        <w:numPr>
          <w:ilvl w:val="0"/>
          <w:numId w:val="3"/>
        </w:numPr>
        <w:tabs>
          <w:tab w:val="left" w:pos="5205"/>
        </w:tabs>
        <w:jc w:val="both"/>
        <w:rPr>
          <w:b/>
          <w:sz w:val="24"/>
          <w:szCs w:val="24"/>
        </w:rPr>
      </w:pPr>
      <w:r w:rsidRPr="00A95E1D">
        <w:rPr>
          <w:b/>
          <w:sz w:val="24"/>
          <w:szCs w:val="24"/>
        </w:rPr>
        <w:t>au fond :</w:t>
      </w:r>
    </w:p>
    <w:p w:rsidR="00166F02" w:rsidRDefault="00126AD1" w:rsidP="003F0512">
      <w:pPr>
        <w:tabs>
          <w:tab w:val="left" w:pos="5205"/>
        </w:tabs>
        <w:jc w:val="both"/>
        <w:rPr>
          <w:sz w:val="24"/>
          <w:szCs w:val="24"/>
        </w:rPr>
      </w:pPr>
      <w:r w:rsidRPr="00FB4D96">
        <w:rPr>
          <w:sz w:val="24"/>
          <w:szCs w:val="24"/>
        </w:rPr>
        <w:t xml:space="preserve">    </w:t>
      </w:r>
      <w:r w:rsidR="00166F02" w:rsidRPr="00FB4D96">
        <w:rPr>
          <w:sz w:val="24"/>
          <w:szCs w:val="24"/>
        </w:rPr>
        <w:t>Confirme le jugement attaqué en toutes ses dispositions.</w:t>
      </w:r>
    </w:p>
    <w:p w:rsidR="00774CFE" w:rsidRDefault="00774CFE" w:rsidP="003F0512">
      <w:pPr>
        <w:tabs>
          <w:tab w:val="left" w:pos="5205"/>
        </w:tabs>
        <w:jc w:val="both"/>
        <w:rPr>
          <w:sz w:val="24"/>
          <w:szCs w:val="24"/>
        </w:rPr>
      </w:pPr>
    </w:p>
    <w:p w:rsidR="00774CFE" w:rsidRPr="00774CFE" w:rsidRDefault="00774CFE" w:rsidP="003F0512">
      <w:pPr>
        <w:tabs>
          <w:tab w:val="left" w:pos="5205"/>
        </w:tabs>
        <w:jc w:val="both"/>
        <w:rPr>
          <w:b/>
          <w:sz w:val="24"/>
          <w:szCs w:val="24"/>
        </w:rPr>
      </w:pPr>
    </w:p>
    <w:p w:rsidR="00774CFE" w:rsidRPr="009E6A3E" w:rsidRDefault="00774CFE" w:rsidP="00774CFE">
      <w:pPr>
        <w:pStyle w:val="Paragraphedeliste"/>
        <w:numPr>
          <w:ilvl w:val="0"/>
          <w:numId w:val="5"/>
        </w:numPr>
        <w:tabs>
          <w:tab w:val="left" w:pos="5205"/>
        </w:tabs>
        <w:jc w:val="both"/>
        <w:rPr>
          <w:b/>
          <w:sz w:val="28"/>
          <w:szCs w:val="24"/>
        </w:rPr>
      </w:pPr>
      <w:r w:rsidRPr="009E6A3E">
        <w:rPr>
          <w:b/>
          <w:sz w:val="28"/>
          <w:szCs w:val="24"/>
        </w:rPr>
        <w:t>EXERCICE</w:t>
      </w:r>
    </w:p>
    <w:p w:rsidR="00774CFE" w:rsidRPr="009E6A3E" w:rsidRDefault="00774CFE" w:rsidP="00774CFE">
      <w:pPr>
        <w:tabs>
          <w:tab w:val="left" w:pos="5205"/>
        </w:tabs>
        <w:jc w:val="both"/>
        <w:rPr>
          <w:sz w:val="28"/>
          <w:szCs w:val="24"/>
        </w:rPr>
      </w:pPr>
      <w:r w:rsidRPr="009E6A3E">
        <w:rPr>
          <w:sz w:val="28"/>
          <w:szCs w:val="24"/>
        </w:rPr>
        <w:t>Commentez le document n° 3.</w:t>
      </w:r>
    </w:p>
    <w:p w:rsidR="00D976EA" w:rsidRPr="00FB4D96" w:rsidRDefault="00D976EA" w:rsidP="002146D2">
      <w:pPr>
        <w:tabs>
          <w:tab w:val="left" w:pos="5205"/>
        </w:tabs>
        <w:jc w:val="both"/>
        <w:rPr>
          <w:sz w:val="24"/>
          <w:szCs w:val="24"/>
        </w:rPr>
      </w:pPr>
      <w:bookmarkStart w:id="0" w:name="_GoBack"/>
      <w:bookmarkEnd w:id="0"/>
    </w:p>
    <w:p w:rsidR="00CA7DCF" w:rsidRPr="00FB4D96" w:rsidRDefault="00CA7DCF" w:rsidP="00B7179F">
      <w:pPr>
        <w:tabs>
          <w:tab w:val="left" w:pos="5205"/>
        </w:tabs>
        <w:jc w:val="both"/>
        <w:rPr>
          <w:color w:val="000000" w:themeColor="text1"/>
          <w:sz w:val="24"/>
          <w:szCs w:val="24"/>
        </w:rPr>
      </w:pPr>
    </w:p>
    <w:p w:rsidR="008F11CE" w:rsidRPr="00FB4D96" w:rsidRDefault="008F11CE" w:rsidP="00B7179F">
      <w:pPr>
        <w:tabs>
          <w:tab w:val="left" w:pos="5205"/>
        </w:tabs>
        <w:jc w:val="both"/>
        <w:rPr>
          <w:sz w:val="24"/>
          <w:szCs w:val="24"/>
        </w:rPr>
      </w:pPr>
    </w:p>
    <w:p w:rsidR="00406A40" w:rsidRPr="00FB4D96" w:rsidRDefault="00406A40" w:rsidP="00B7179F">
      <w:pPr>
        <w:tabs>
          <w:tab w:val="left" w:pos="5205"/>
        </w:tabs>
        <w:jc w:val="both"/>
        <w:rPr>
          <w:sz w:val="28"/>
        </w:rPr>
      </w:pPr>
      <w:r w:rsidRPr="00FB4D96">
        <w:rPr>
          <w:sz w:val="24"/>
          <w:szCs w:val="24"/>
        </w:rPr>
        <w:tab/>
      </w:r>
    </w:p>
    <w:sectPr w:rsidR="00406A40" w:rsidRPr="00FB4D96" w:rsidSect="00A95E1D">
      <w:footerReference w:type="default" r:id="rId8"/>
      <w:pgSz w:w="11906" w:h="16838"/>
      <w:pgMar w:top="851"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D4" w:rsidRDefault="00EE0AD4" w:rsidP="00D076C4">
      <w:pPr>
        <w:spacing w:after="0" w:line="240" w:lineRule="auto"/>
      </w:pPr>
      <w:r>
        <w:separator/>
      </w:r>
    </w:p>
  </w:endnote>
  <w:endnote w:type="continuationSeparator" w:id="0">
    <w:p w:rsidR="00EE0AD4" w:rsidRDefault="00EE0AD4" w:rsidP="00D0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815192"/>
      <w:docPartObj>
        <w:docPartGallery w:val="Page Numbers (Bottom of Page)"/>
        <w:docPartUnique/>
      </w:docPartObj>
    </w:sdtPr>
    <w:sdtEndPr/>
    <w:sdtContent>
      <w:p w:rsidR="000E2E77" w:rsidRDefault="00EE0AD4">
        <w:pPr>
          <w:pStyle w:val="Pieddepage"/>
          <w:jc w:val="center"/>
        </w:pPr>
        <w:r>
          <w:fldChar w:fldCharType="begin"/>
        </w:r>
        <w:r>
          <w:instrText>PAGE   \* MERGEFORMAT</w:instrText>
        </w:r>
        <w:r>
          <w:fldChar w:fldCharType="separate"/>
        </w:r>
        <w:r w:rsidR="009E6A3E">
          <w:rPr>
            <w:noProof/>
          </w:rPr>
          <w:t>7</w:t>
        </w:r>
        <w:r>
          <w:rPr>
            <w:noProof/>
          </w:rPr>
          <w:fldChar w:fldCharType="end"/>
        </w:r>
      </w:p>
    </w:sdtContent>
  </w:sdt>
  <w:p w:rsidR="000E2E77" w:rsidRDefault="000E2E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D4" w:rsidRDefault="00EE0AD4" w:rsidP="00D076C4">
      <w:pPr>
        <w:spacing w:after="0" w:line="240" w:lineRule="auto"/>
      </w:pPr>
      <w:r>
        <w:separator/>
      </w:r>
    </w:p>
  </w:footnote>
  <w:footnote w:type="continuationSeparator" w:id="0">
    <w:p w:rsidR="00EE0AD4" w:rsidRDefault="00EE0AD4" w:rsidP="00D07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C79FC"/>
    <w:multiLevelType w:val="hybridMultilevel"/>
    <w:tmpl w:val="CFC2CF98"/>
    <w:lvl w:ilvl="0" w:tplc="7E2E4AE2">
      <w:start w:val="1"/>
      <w:numFmt w:val="decimal"/>
      <w:lvlText w:val="%1."/>
      <w:lvlJc w:val="left"/>
      <w:pPr>
        <w:ind w:left="720" w:hanging="360"/>
      </w:pPr>
      <w:rPr>
        <w:rFonts w:hint="default"/>
        <w:b w:val="0"/>
        <w:color w:val="000000" w:themeColor="text1"/>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7B74A2"/>
    <w:multiLevelType w:val="hybridMultilevel"/>
    <w:tmpl w:val="73D2984E"/>
    <w:lvl w:ilvl="0" w:tplc="BD2823C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277597"/>
    <w:multiLevelType w:val="hybridMultilevel"/>
    <w:tmpl w:val="CFE04C4A"/>
    <w:lvl w:ilvl="0" w:tplc="4266BB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996CF0"/>
    <w:multiLevelType w:val="hybridMultilevel"/>
    <w:tmpl w:val="6F520FEC"/>
    <w:lvl w:ilvl="0" w:tplc="5B8A44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8B56DD"/>
    <w:multiLevelType w:val="hybridMultilevel"/>
    <w:tmpl w:val="A36279A2"/>
    <w:lvl w:ilvl="0" w:tplc="E95E6C3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68814D5"/>
    <w:multiLevelType w:val="hybridMultilevel"/>
    <w:tmpl w:val="CD945AF6"/>
    <w:lvl w:ilvl="0" w:tplc="BAAE18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AC7AF9"/>
    <w:multiLevelType w:val="hybridMultilevel"/>
    <w:tmpl w:val="9C5CD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76C4"/>
    <w:rsid w:val="000012C9"/>
    <w:rsid w:val="00023227"/>
    <w:rsid w:val="0002502D"/>
    <w:rsid w:val="00056039"/>
    <w:rsid w:val="00075137"/>
    <w:rsid w:val="00083BFD"/>
    <w:rsid w:val="00091AA0"/>
    <w:rsid w:val="000A6F67"/>
    <w:rsid w:val="000B1C25"/>
    <w:rsid w:val="000C478B"/>
    <w:rsid w:val="000E2E77"/>
    <w:rsid w:val="000F2099"/>
    <w:rsid w:val="000F3DAC"/>
    <w:rsid w:val="00100AC8"/>
    <w:rsid w:val="00120E41"/>
    <w:rsid w:val="00123A5C"/>
    <w:rsid w:val="00126AD1"/>
    <w:rsid w:val="00141420"/>
    <w:rsid w:val="0014162C"/>
    <w:rsid w:val="00142154"/>
    <w:rsid w:val="00166F02"/>
    <w:rsid w:val="00177C09"/>
    <w:rsid w:val="00193140"/>
    <w:rsid w:val="001978D3"/>
    <w:rsid w:val="001B06C6"/>
    <w:rsid w:val="001B4BD6"/>
    <w:rsid w:val="001B68A2"/>
    <w:rsid w:val="001D690C"/>
    <w:rsid w:val="001D790E"/>
    <w:rsid w:val="001E6000"/>
    <w:rsid w:val="001E71DA"/>
    <w:rsid w:val="002146D2"/>
    <w:rsid w:val="002726C8"/>
    <w:rsid w:val="00287676"/>
    <w:rsid w:val="00291E42"/>
    <w:rsid w:val="002D39D9"/>
    <w:rsid w:val="002F2D50"/>
    <w:rsid w:val="002F6D45"/>
    <w:rsid w:val="003026DE"/>
    <w:rsid w:val="00324F04"/>
    <w:rsid w:val="00327143"/>
    <w:rsid w:val="00330010"/>
    <w:rsid w:val="003D4BEE"/>
    <w:rsid w:val="003E4EA8"/>
    <w:rsid w:val="003F0512"/>
    <w:rsid w:val="00402249"/>
    <w:rsid w:val="00403627"/>
    <w:rsid w:val="00406A40"/>
    <w:rsid w:val="00416FC0"/>
    <w:rsid w:val="00437C62"/>
    <w:rsid w:val="00447A2B"/>
    <w:rsid w:val="004759E2"/>
    <w:rsid w:val="00482997"/>
    <w:rsid w:val="0048675F"/>
    <w:rsid w:val="004A480C"/>
    <w:rsid w:val="004B0315"/>
    <w:rsid w:val="004B721B"/>
    <w:rsid w:val="005016F4"/>
    <w:rsid w:val="005045B7"/>
    <w:rsid w:val="00511261"/>
    <w:rsid w:val="005243E4"/>
    <w:rsid w:val="00524B99"/>
    <w:rsid w:val="00536650"/>
    <w:rsid w:val="00541D3C"/>
    <w:rsid w:val="00580EC6"/>
    <w:rsid w:val="005B744A"/>
    <w:rsid w:val="005C1884"/>
    <w:rsid w:val="005E1643"/>
    <w:rsid w:val="00606744"/>
    <w:rsid w:val="006425C3"/>
    <w:rsid w:val="0064554D"/>
    <w:rsid w:val="00654EB7"/>
    <w:rsid w:val="0067609B"/>
    <w:rsid w:val="006A3632"/>
    <w:rsid w:val="006B69FD"/>
    <w:rsid w:val="006E597E"/>
    <w:rsid w:val="007057FA"/>
    <w:rsid w:val="007215C3"/>
    <w:rsid w:val="00725A02"/>
    <w:rsid w:val="00733497"/>
    <w:rsid w:val="007362F9"/>
    <w:rsid w:val="00745A02"/>
    <w:rsid w:val="007649E5"/>
    <w:rsid w:val="00774CFE"/>
    <w:rsid w:val="0078076D"/>
    <w:rsid w:val="00783B14"/>
    <w:rsid w:val="007958AD"/>
    <w:rsid w:val="00796D33"/>
    <w:rsid w:val="007C701A"/>
    <w:rsid w:val="007D1C34"/>
    <w:rsid w:val="007D4105"/>
    <w:rsid w:val="007F00CA"/>
    <w:rsid w:val="007F03F6"/>
    <w:rsid w:val="007F3E5F"/>
    <w:rsid w:val="00811B82"/>
    <w:rsid w:val="0082466F"/>
    <w:rsid w:val="008322A9"/>
    <w:rsid w:val="0083325A"/>
    <w:rsid w:val="00833371"/>
    <w:rsid w:val="00856A89"/>
    <w:rsid w:val="00857F31"/>
    <w:rsid w:val="008757B9"/>
    <w:rsid w:val="00896F42"/>
    <w:rsid w:val="008A1389"/>
    <w:rsid w:val="008A3735"/>
    <w:rsid w:val="008B62BF"/>
    <w:rsid w:val="008D6217"/>
    <w:rsid w:val="008E56BA"/>
    <w:rsid w:val="008F11CE"/>
    <w:rsid w:val="008F25B0"/>
    <w:rsid w:val="0090016F"/>
    <w:rsid w:val="00926D62"/>
    <w:rsid w:val="00965385"/>
    <w:rsid w:val="00970143"/>
    <w:rsid w:val="0097415F"/>
    <w:rsid w:val="009844B8"/>
    <w:rsid w:val="00991823"/>
    <w:rsid w:val="00997F2B"/>
    <w:rsid w:val="009A520A"/>
    <w:rsid w:val="009B3A77"/>
    <w:rsid w:val="009C5195"/>
    <w:rsid w:val="009D4DD0"/>
    <w:rsid w:val="009D5DDB"/>
    <w:rsid w:val="009E11AE"/>
    <w:rsid w:val="009E6A3E"/>
    <w:rsid w:val="009F526E"/>
    <w:rsid w:val="00A00982"/>
    <w:rsid w:val="00A12ED0"/>
    <w:rsid w:val="00A3396F"/>
    <w:rsid w:val="00A347FB"/>
    <w:rsid w:val="00A429BC"/>
    <w:rsid w:val="00A53F59"/>
    <w:rsid w:val="00A57B5E"/>
    <w:rsid w:val="00A64062"/>
    <w:rsid w:val="00A71F4E"/>
    <w:rsid w:val="00A95E1D"/>
    <w:rsid w:val="00A97843"/>
    <w:rsid w:val="00AC5BDB"/>
    <w:rsid w:val="00AD3ECF"/>
    <w:rsid w:val="00AE4228"/>
    <w:rsid w:val="00AF2772"/>
    <w:rsid w:val="00AF3404"/>
    <w:rsid w:val="00B02AB2"/>
    <w:rsid w:val="00B02B61"/>
    <w:rsid w:val="00B0724F"/>
    <w:rsid w:val="00B124A3"/>
    <w:rsid w:val="00B15870"/>
    <w:rsid w:val="00B22957"/>
    <w:rsid w:val="00B25F46"/>
    <w:rsid w:val="00B26254"/>
    <w:rsid w:val="00B54D17"/>
    <w:rsid w:val="00B7179F"/>
    <w:rsid w:val="00B72E1A"/>
    <w:rsid w:val="00B813A8"/>
    <w:rsid w:val="00B816B3"/>
    <w:rsid w:val="00B97ADD"/>
    <w:rsid w:val="00BC2AC8"/>
    <w:rsid w:val="00BD33A0"/>
    <w:rsid w:val="00BD6EE2"/>
    <w:rsid w:val="00BF208B"/>
    <w:rsid w:val="00BF72D8"/>
    <w:rsid w:val="00C02AF4"/>
    <w:rsid w:val="00C06820"/>
    <w:rsid w:val="00C10A80"/>
    <w:rsid w:val="00C21E5F"/>
    <w:rsid w:val="00C44874"/>
    <w:rsid w:val="00C63FA6"/>
    <w:rsid w:val="00C80022"/>
    <w:rsid w:val="00C870FD"/>
    <w:rsid w:val="00CA38C8"/>
    <w:rsid w:val="00CA7DCF"/>
    <w:rsid w:val="00CE359C"/>
    <w:rsid w:val="00CE4897"/>
    <w:rsid w:val="00CE5AD5"/>
    <w:rsid w:val="00CE5BA8"/>
    <w:rsid w:val="00CF00D6"/>
    <w:rsid w:val="00CF1FA4"/>
    <w:rsid w:val="00CF2417"/>
    <w:rsid w:val="00D076C4"/>
    <w:rsid w:val="00D1155A"/>
    <w:rsid w:val="00D22176"/>
    <w:rsid w:val="00D26193"/>
    <w:rsid w:val="00D3195D"/>
    <w:rsid w:val="00D342F0"/>
    <w:rsid w:val="00D656F0"/>
    <w:rsid w:val="00D669E4"/>
    <w:rsid w:val="00D92554"/>
    <w:rsid w:val="00D92E70"/>
    <w:rsid w:val="00D976EA"/>
    <w:rsid w:val="00DA4EF0"/>
    <w:rsid w:val="00DA6550"/>
    <w:rsid w:val="00DB0D0B"/>
    <w:rsid w:val="00DB1BD1"/>
    <w:rsid w:val="00DC5D95"/>
    <w:rsid w:val="00DD1D7E"/>
    <w:rsid w:val="00E1400A"/>
    <w:rsid w:val="00E43CA4"/>
    <w:rsid w:val="00E717CD"/>
    <w:rsid w:val="00E722BA"/>
    <w:rsid w:val="00E9110B"/>
    <w:rsid w:val="00E91943"/>
    <w:rsid w:val="00EA213B"/>
    <w:rsid w:val="00EB659B"/>
    <w:rsid w:val="00ED57BC"/>
    <w:rsid w:val="00EE0AD4"/>
    <w:rsid w:val="00EF064B"/>
    <w:rsid w:val="00EF37D8"/>
    <w:rsid w:val="00F415ED"/>
    <w:rsid w:val="00F55E0A"/>
    <w:rsid w:val="00F63A92"/>
    <w:rsid w:val="00F84F26"/>
    <w:rsid w:val="00FA55E3"/>
    <w:rsid w:val="00FB4D96"/>
    <w:rsid w:val="00FD5D87"/>
    <w:rsid w:val="00FE608F"/>
    <w:rsid w:val="00FE7DC1"/>
    <w:rsid w:val="00FF2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612A4-2105-40D0-A7D2-B53DEA16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C25"/>
  </w:style>
  <w:style w:type="paragraph" w:styleId="Titre1">
    <w:name w:val="heading 1"/>
    <w:basedOn w:val="Normal"/>
    <w:next w:val="Normal"/>
    <w:link w:val="Titre1Car"/>
    <w:uiPriority w:val="9"/>
    <w:qFormat/>
    <w:rsid w:val="00970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76C4"/>
    <w:pPr>
      <w:tabs>
        <w:tab w:val="center" w:pos="4536"/>
        <w:tab w:val="right" w:pos="9072"/>
      </w:tabs>
      <w:spacing w:after="0" w:line="240" w:lineRule="auto"/>
    </w:pPr>
  </w:style>
  <w:style w:type="character" w:customStyle="1" w:styleId="En-tteCar">
    <w:name w:val="En-tête Car"/>
    <w:basedOn w:val="Policepardfaut"/>
    <w:link w:val="En-tte"/>
    <w:uiPriority w:val="99"/>
    <w:rsid w:val="00D076C4"/>
  </w:style>
  <w:style w:type="paragraph" w:styleId="Pieddepage">
    <w:name w:val="footer"/>
    <w:basedOn w:val="Normal"/>
    <w:link w:val="PieddepageCar"/>
    <w:uiPriority w:val="99"/>
    <w:unhideWhenUsed/>
    <w:rsid w:val="00D07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76C4"/>
  </w:style>
  <w:style w:type="paragraph" w:styleId="Sansinterligne">
    <w:name w:val="No Spacing"/>
    <w:uiPriority w:val="1"/>
    <w:qFormat/>
    <w:rsid w:val="00406A40"/>
    <w:pPr>
      <w:spacing w:after="0" w:line="240" w:lineRule="auto"/>
    </w:pPr>
  </w:style>
  <w:style w:type="paragraph" w:styleId="Paragraphedeliste">
    <w:name w:val="List Paragraph"/>
    <w:basedOn w:val="Normal"/>
    <w:uiPriority w:val="34"/>
    <w:qFormat/>
    <w:rsid w:val="00B97ADD"/>
    <w:pPr>
      <w:ind w:left="720"/>
      <w:contextualSpacing/>
    </w:pPr>
  </w:style>
  <w:style w:type="character" w:customStyle="1" w:styleId="Titre1Car">
    <w:name w:val="Titre 1 Car"/>
    <w:basedOn w:val="Policepardfaut"/>
    <w:link w:val="Titre1"/>
    <w:uiPriority w:val="9"/>
    <w:rsid w:val="00970143"/>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970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E9CC5-2554-40FF-8B01-99C5B8EC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7</Pages>
  <Words>2472</Words>
  <Characters>13600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EliteBook i5</cp:lastModifiedBy>
  <cp:revision>60</cp:revision>
  <cp:lastPrinted>2019-02-06T09:47:00Z</cp:lastPrinted>
  <dcterms:created xsi:type="dcterms:W3CDTF">2014-07-08T12:06:00Z</dcterms:created>
  <dcterms:modified xsi:type="dcterms:W3CDTF">2020-02-10T19:07:00Z</dcterms:modified>
</cp:coreProperties>
</file>